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lang w:val="en-US" w:eastAsia="zh-CN"/>
        </w:rPr>
        <w:t>徐州</w:t>
      </w:r>
      <w:r>
        <w:rPr>
          <w:rFonts w:hint="eastAsia" w:asciiTheme="majorEastAsia" w:hAnsiTheme="majorEastAsia" w:eastAsiaTheme="majorEastAsia"/>
        </w:rPr>
        <w:t>市公共资源交易平台市场化工具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技术需求</w:t>
      </w:r>
    </w:p>
    <w:p>
      <w:pPr>
        <w:rPr>
          <w:rFonts w:asciiTheme="majorEastAsia" w:hAnsiTheme="majorEastAsia" w:eastAsiaTheme="majorEastAsia"/>
        </w:rPr>
      </w:pPr>
    </w:p>
    <w:p>
      <w:pPr>
        <w:pStyle w:val="3"/>
        <w:numPr>
          <w:ilvl w:val="2"/>
          <w:numId w:val="0"/>
        </w:numPr>
      </w:pPr>
      <w:r>
        <w:rPr>
          <w:rFonts w:hint="eastAsia"/>
        </w:rPr>
        <w:t>一．基本要求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本次主要征集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  <w:lang w:eastAsia="zh-CN"/>
        </w:rPr>
        <w:t>徐州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市建设工程网上招投标系统和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  <w:lang w:eastAsia="zh-CN"/>
        </w:rPr>
        <w:t>徐州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市水利工程网上招投标系统的投标文件制作工具软件供应商。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投标文件制作软件是供投标用户使用的，用于制作电子版投标文件的一套系统软件。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主要功能包括：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0" w:name="_Toc121611256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1.1、诚信库（主体库）同步</w:t>
      </w:r>
      <w:bookmarkEnd w:id="0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通过与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  <w:lang w:eastAsia="zh-CN"/>
        </w:rPr>
        <w:t>徐州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市公共资源交易系统对接，为市场主体提供诚信库（主体库）同步功能，投标人可通过授权的方式，使用投标文件制作工具获取投标人在当地诚信库的所有数据。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同时，在投标文件编制完成后，如投标人有诚信库（主体库）数据更新，则可以通过同步功能，完成信息的更新。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" w:name="_Toc121611260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1.2、流程引导式</w:t>
      </w:r>
      <w:bookmarkEnd w:id="1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投标文件制作软件使用流程引导方式展现文件制作过程，按步推进引导投标人进行投标文件制作。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2" w:name="_Toc121611261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1.3、文件导入</w:t>
      </w:r>
      <w:bookmarkEnd w:id="2"/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3" w:name="_Toc121611262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1.3.1、招标文件导入</w:t>
      </w:r>
      <w:bookmarkEnd w:id="3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投标人可将符合格式的招标文件导入到软件中，系统根据招标文件要求，生成对应可视的投标文件制作模板。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4" w:name="_Toc121611263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1.3.2、答疑文件导入</w:t>
      </w:r>
      <w:bookmarkEnd w:id="4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投标人可将符合格式的答疑文件导入到软件中，根据需要选择是否重做相关的标书内容。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5" w:name="_Toc121611264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1.4制作须知</w:t>
      </w:r>
      <w:bookmarkEnd w:id="5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投标文件制作工具中展示各类常见的操作问题、CA问题，并将相关问题关联到操作视频，投标人可直接跳转至课堂观看操作视频。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6" w:name="_Toc121611265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1.5、浏览招标信息</w:t>
      </w:r>
      <w:bookmarkEnd w:id="6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提供招标文件信息浏览功能，投标人可查看招标基本信息、当前投标工程存放路径、招标正文、招标其他材料、图纸，以pdf控件形式展示正文内容，可进行答疑导入、工程量清单导出。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7" w:name="_Toc121611266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1.6、诚信库（主体库）信息挑选</w:t>
      </w:r>
      <w:bookmarkEnd w:id="7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投标人可通过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  <w:lang w:eastAsia="zh-CN"/>
        </w:rPr>
        <w:t>徐州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市公共资源交易平台认可的“CA锁”方式同步诚信库（主体库）信息，获取单位信息，选择身份后确认信息同步，投标人获取诚信库（主体库）信息后进行网上挑选，成功选择后将已选的信息自动在投标文件中生成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8" w:name="_Toc121611267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1.7、工程量清单导入</w:t>
      </w:r>
      <w:bookmarkEnd w:id="8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软件需支持工程量清单导入功能，在投标人导入清单封面扫描文件、总说明文件和工程量清单文件后，转化工程量清单，将三类文件合并成完整的一份工程量清单pdf文件，并支持工程量清单浏览查阅功能。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9" w:name="_Toc121611268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1.8、导入文档</w:t>
      </w:r>
      <w:bookmarkEnd w:id="9"/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0" w:name="_Toc121611269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1.8.1、Html页面</w:t>
      </w:r>
      <w:bookmarkEnd w:id="10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以html页面形式展现投标文件需填写的内容，以节点形式展现投标文件各部分完成情况，已填和未填用不同颜色进行区分。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1" w:name="_Toc121611270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1.8.2、Word导入</w:t>
      </w:r>
      <w:bookmarkEnd w:id="11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按照招标文件中配置投标文件文档格式为word型，在投标文件制作过程中采用word导入形式进行制作，对于需要修改部分可直接对word文件进行修改。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2" w:name="_Toc121611271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1.8.3、货物清单、分项报价表</w:t>
      </w:r>
      <w:bookmarkEnd w:id="12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提供货物清单、分项报价表制作功能，相关表格里的有关货物（分项报价）的信息（包括货物清单编号、货物名称、计量单位、数量、招标人备注）根据招标文件中设置的货物清单内容进行展示，支持图片和word文档上传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3" w:name="_Toc121611272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1.8.4、开标一览表</w:t>
      </w:r>
      <w:bookmarkEnd w:id="13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开标一览表中的项目信息自动从招标文件中获取且无法编辑修改，开标一览表中各项唱标内容配置由招标文件决定，投标人根据招标文件要求填写开标一览表中信息。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4" w:name="_Toc121611273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1.8.5、联合体协议书</w:t>
      </w:r>
      <w:bookmarkEnd w:id="14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投标人可主动选择是否需要填写联合协议书，投标人可选择下载招标文件中提供的联合体协议书模板，并以图片形式上传联合体协议书。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5" w:name="_Toc121611274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1.8.6、技术标导入及制作</w:t>
      </w:r>
      <w:bookmarkEnd w:id="15"/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1.8.6.1、横向技术标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横向评审技术标根据招标文件中各项技术标的评分点，支持投标人导入技术标文档，每个技术标子节点必须导入一份非图纸文件并提供相关提示语，导入完成后可查看导入的文件内容信息。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1.8.6.2、非横向技术标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对于存在非横向技术标的招标文件，支持投标人进行对应的非横向技术标制作，投标人可按照技术标节点查看对应的内容，针对每个评分点，投标人在完成文档导入后完成非横向技术标制作。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6" w:name="_Toc121611275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1.9、标书签章</w:t>
      </w:r>
      <w:bookmarkEnd w:id="16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支持投标人批量转换功能，将所有的节点转为pdf格式，支持投标人对投标文件进行批量签章操作，可使用CA进行签章。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1.10、</w:t>
      </w:r>
      <w:r>
        <w:rPr>
          <w:rFonts w:hint="eastAsia" w:ascii="方正仿宋_GBK" w:hAnsi="华文仿宋" w:eastAsia="方正仿宋_GBK" w:cs="华文仿宋"/>
          <w:b/>
          <w:bCs/>
          <w:snapToGrid w:val="0"/>
          <w:sz w:val="24"/>
          <w:szCs w:val="24"/>
        </w:rPr>
        <w:t>预览标书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所有节点转换完签章成后，将所有内容进行合并处理，最终生成pdf格式的投标文件，投标人需要导出PDF文件，查看已生成投标文件中各项内容。</w:t>
      </w:r>
      <w:bookmarkStart w:id="17" w:name="_Toc121611277"/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1.11、生成文件</w:t>
      </w:r>
      <w:bookmarkEnd w:id="17"/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投标人加密后，确认唱标信息并进行标书解密，系统自动生成一份加密文件和一份非加密文件并保存在指定路径，支持双信封模式生成投标文件。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pStyle w:val="3"/>
        <w:numPr>
          <w:ilvl w:val="2"/>
          <w:numId w:val="0"/>
        </w:numPr>
        <w:rPr>
          <w:rFonts w:hint="default" w:eastAsia="宋体"/>
          <w:color w:val="FF0000"/>
          <w:lang w:val="en-US" w:eastAsia="zh-CN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>接口标准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2.1、项目信息 [XiangMuInfo]</w:t>
      </w:r>
    </w:p>
    <w:tbl>
      <w:tblPr>
        <w:tblStyle w:val="7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843"/>
        <w:gridCol w:w="1332"/>
        <w:gridCol w:w="899"/>
        <w:gridCol w:w="694"/>
        <w:gridCol w:w="453"/>
        <w:gridCol w:w="2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3192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xmlns:xsi="http://www.w3.org/2001/XMLSchema-instance"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XiangMuMC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项目名称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项目名称 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BiaoDuanBM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标段编号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标段的编号长度：50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BiaoDuanMC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标段名称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标段的名称长度：255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ZhaoBiaoDL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招标代理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JianSheDW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建设单位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TBDW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投标单位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MachineKey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生成电脑上的机器码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Mac地址@硬盘唯一标识@CUP@主板号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长度255 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备注：MAC地址、硬盘唯一标识、CUP、主板号代码取出后应该和鲁大师一致的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SoftWare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公司名称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生成软件的公司名称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CheckNo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校验码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按照每家公司申请，单独给，计算规则见附件“投标文件CheckNo生成规则”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Version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版本号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ZipContent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内容压缩标识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</w:tr>
    </w:tbl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18" w:name="_Toc226641830"/>
      <w:bookmarkStart w:id="19" w:name="_Toc244675443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2.2、经济标[JingJiBiao]</w:t>
      </w:r>
      <w:bookmarkEnd w:id="18"/>
      <w:bookmarkEnd w:id="19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 xml:space="preserve"> </w:t>
      </w:r>
    </w:p>
    <w:tbl>
      <w:tblPr>
        <w:tblStyle w:val="7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843"/>
        <w:gridCol w:w="1332"/>
        <w:gridCol w:w="899"/>
        <w:gridCol w:w="694"/>
        <w:gridCol w:w="453"/>
        <w:gridCol w:w="2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DataType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经济标数据类型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否，可选属性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经济标实体文件存放在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xml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同级文件夹中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JingJibiao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文件夹中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bookmarkStart w:id="20" w:name="_Toc244675453"/>
      <w:bookmarkStart w:id="21" w:name="_Toc226641833"/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2.3、标书[BiaoShu]</w:t>
      </w:r>
      <w:bookmarkEnd w:id="20"/>
      <w:bookmarkEnd w:id="21"/>
    </w:p>
    <w:tbl>
      <w:tblPr>
        <w:tblStyle w:val="7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2162"/>
        <w:gridCol w:w="1260"/>
        <w:gridCol w:w="834"/>
        <w:gridCol w:w="694"/>
        <w:gridCol w:w="453"/>
        <w:gridCol w:w="2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CreatBiaoShuDate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创建工程时的时间（到秒）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DateTime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用户在新建工程时的时间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EndBiaoShuDate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结束工程的时间（到秒）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DateTime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当用户点击“生成投标文件按钮”时的时间，就表示为结束工程的时间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DogNum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深思锁锁号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使用锁号,若没有取到，取得MachineKey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JiaoYanNumber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投标文件的校验码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为DogNum +CreateBiaoShuDate 出现的md5校验码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CreateGuid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创建工程Guid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5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创建工程文件时候唯一标识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长度：50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 xml:space="preserve">2.3.1、企业网上资料信息[TBNetFileInfo] 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投标单位信息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[TBDWInfo]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可以为多个子节点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,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可选节点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763"/>
        <w:gridCol w:w="1170"/>
        <w:gridCol w:w="816"/>
        <w:gridCol w:w="690"/>
        <w:gridCol w:w="19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4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2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DWName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单位名字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4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2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DWGuid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单位guid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5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4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2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投标单位已挑选的材料根信息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[TBNetFileBT]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可以为多个子节点，（不一定必须存在。可选节点）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61"/>
        <w:gridCol w:w="1797"/>
        <w:gridCol w:w="1261"/>
        <w:gridCol w:w="539"/>
        <w:gridCol w:w="543"/>
        <w:gridCol w:w="23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ZLMC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资料名称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长度：255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ZLLX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资料类型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 如 A1，A2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名字（如业绩名称、项目经理名称）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长度：500 如 项目经理张3、李4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NameGuid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项目经理或者业绩的唯一标识符号Guid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长度：50 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投标单位已挑选的子材料信息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[TBNetFileMX]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可以为多个子节点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（不一定必须存在，可选节点）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61"/>
        <w:gridCol w:w="1797"/>
        <w:gridCol w:w="1261"/>
        <w:gridCol w:w="539"/>
        <w:gridCol w:w="543"/>
        <w:gridCol w:w="23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ZLMC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资料名称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长度：255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ZLLX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资料类型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 如 A001，A002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ZLYXQ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资料有效期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DateTime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资料有效期,从webservice中中获得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投标单位挑选的材料的扫描件信息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[TBScanFileMX]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可以为多个子节点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（不一定必须存在，可选节点）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61"/>
        <w:gridCol w:w="1797"/>
        <w:gridCol w:w="1261"/>
        <w:gridCol w:w="539"/>
        <w:gridCol w:w="543"/>
        <w:gridCol w:w="23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FileID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挑选的扫描件的ID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长度：255 如90843,90142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FileGuid</w:t>
            </w:r>
          </w:p>
        </w:tc>
        <w:tc>
          <w:tcPr>
            <w:tcW w:w="10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挑选的扫描件的Guid</w:t>
            </w:r>
          </w:p>
        </w:tc>
        <w:tc>
          <w:tcPr>
            <w:tcW w:w="7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长度：255 </w:t>
            </w:r>
          </w:p>
        </w:tc>
      </w:tr>
    </w:tbl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 xml:space="preserve">2.3.2、投标文件[TBFiles]  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710"/>
        <w:gridCol w:w="1237"/>
        <w:gridCol w:w="1566"/>
        <w:gridCol w:w="491"/>
        <w:gridCol w:w="493"/>
        <w:gridCol w:w="2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FileName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投标文件名称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长度255 如：投标函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TBFileLx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投标文件类型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-1投标文件标题目录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0投标文件封面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1投标函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3法人证明和授权委托书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4联合体协议书（如有）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5保证金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6经济标的pdf）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7技术标（施工组织设计）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8技术标（施工组织设计）附件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9技术标（施工组织设计）辅助部分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10拟分包情况表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12其它材料 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13项目管理机构资料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14 资格审查资料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15 业绩资料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16 工程量清单（mdb格式）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900 系统保留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FileType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文件类型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   pdf文件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   dwg文件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dwf文件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Office、xml文件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FileSignature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文件签名信息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Zip压缩前的pdf文件签名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不限长度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6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PbSignatureKey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签名公钥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投标人的签名公钥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不限长度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7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BinFile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值为空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8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FileCatalog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投标文件对应的目录结构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1.1.1.2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9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Ehash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文件的hash值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值，长度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TenderName</w:t>
            </w:r>
          </w:p>
        </w:tc>
        <w:tc>
          <w:tcPr>
            <w:tcW w:w="7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文件的全名称</w:t>
            </w:r>
          </w:p>
        </w:tc>
        <w:tc>
          <w:tcPr>
            <w:tcW w:w="9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4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文件的全名称带后缀名，长度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255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备注：文件的实体文件存放在和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xml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同级的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BiaoShu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节点中</w:t>
            </w:r>
          </w:p>
        </w:tc>
      </w:tr>
    </w:tbl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 xml:space="preserve">2.4标书检查信息[CheckContent] 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备注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: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一条错误就是一条记录，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CheckContent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为可选节点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470"/>
        <w:gridCol w:w="1486"/>
        <w:gridCol w:w="1501"/>
        <w:gridCol w:w="506"/>
        <w:gridCol w:w="508"/>
        <w:gridCol w:w="2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9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9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9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9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序号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CheckContent</w:t>
            </w:r>
          </w:p>
        </w:tc>
        <w:tc>
          <w:tcPr>
            <w:tcW w:w="9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检查出来的内容</w:t>
            </w:r>
          </w:p>
        </w:tc>
        <w:tc>
          <w:tcPr>
            <w:tcW w:w="9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长度2000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2.5投标辅助扩展信息[TBInfo]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380"/>
        <w:gridCol w:w="1422"/>
        <w:gridCol w:w="1594"/>
        <w:gridCol w:w="521"/>
        <w:gridCol w:w="523"/>
        <w:gridCol w:w="2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键名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Value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键值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KeyExt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键扩展属性，放值的单位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KeyType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键类别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可选节点，长度200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常见关键字为：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Tbzj代表投标总价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gq代表工期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bzj代表保证金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此节点存放是唱标用的节点，非唱标用的节点存入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TBExtInfo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节点，几个常用的关键字键名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Xh="1"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投标总价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Value="23" KeyExt="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元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KeyType =" Tbzj"/&gt;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ab/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Xh="2"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投标保证金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Value="234234" KeyExt="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元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KeyType ="bzj"/&gt;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ab/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Xh="3"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工期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Value="234" KeyExt="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日历天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KeyType ="gq"/&gt;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ab/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Xh="4"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质量承诺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Value="234" KeyExt="" KeyType =" "/&gt;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ab/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Xh="5"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安全承诺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Value="66" KeyExt="" KeyType =" "/&gt;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ab/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&lt;TBInfo Xh="6" Key="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备注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" Value="66" KeyExt="" KeyType =" "/&gt;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2.6、标书辅助扩展信息[TBExtInfo]</w:t>
      </w: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2.6.1、投标辅助扩展信息[TBExtInfoMX]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380"/>
        <w:gridCol w:w="1422"/>
        <w:gridCol w:w="1594"/>
        <w:gridCol w:w="521"/>
        <w:gridCol w:w="523"/>
        <w:gridCol w:w="2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键名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Value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键值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KeyExt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键扩展属性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8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KeyType</w:t>
            </w:r>
          </w:p>
        </w:tc>
        <w:tc>
          <w:tcPr>
            <w:tcW w:w="8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键类别</w:t>
            </w:r>
          </w:p>
        </w:tc>
        <w:tc>
          <w:tcPr>
            <w:tcW w:w="9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可选节点，长度200</w:t>
            </w:r>
          </w:p>
        </w:tc>
      </w:tr>
    </w:tbl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2.6.2、扫描件列表文件[ScanFileList]</w:t>
      </w:r>
    </w:p>
    <w:tbl>
      <w:tblPr>
        <w:tblStyle w:val="7"/>
        <w:tblW w:w="4975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950"/>
        <w:gridCol w:w="1314"/>
        <w:gridCol w:w="1486"/>
        <w:gridCol w:w="491"/>
        <w:gridCol w:w="416"/>
        <w:gridCol w:w="22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中文解释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数据类型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唯一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必填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D4D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Xh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Integer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序号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ScanFileListName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扫描件列表的名称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扫描件Zip包的名称，可以自定义 例如 ***单位扫描件1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255长度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FileSignature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文件签名信息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此zip文件的签名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PbSignatureKey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签名公钥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String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投标人的签名公钥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9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Ehash</w:t>
            </w:r>
          </w:p>
        </w:tc>
        <w:tc>
          <w:tcPr>
            <w:tcW w:w="8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文件的hash值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Strng</w:t>
            </w:r>
          </w:p>
        </w:tc>
        <w:tc>
          <w:tcPr>
            <w:tcW w:w="3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是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文件的hash值，长度500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实体文件存在在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xml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平级的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ScanFileList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文件夹中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_GB2312" w:hAnsi="华文仿宋" w:eastAsia="仿宋_GB2312" w:cs="华文仿宋"/>
          <w:b/>
          <w:bCs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2.</w:t>
      </w: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b/>
          <w:bCs/>
          <w:snapToGrid w:val="0"/>
          <w:sz w:val="24"/>
          <w:szCs w:val="24"/>
        </w:rPr>
        <w:t>、投标文件信封（TBFile）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制作出来的投标文件（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TB.xml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）和实体文件进行压缩形成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Zip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t>Zip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文件目录结构如下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ascii="仿宋_GB2312" w:hAnsi="华文仿宋" w:eastAsia="仿宋_GB2312" w:cs="华文仿宋"/>
          <w:snapToGrid w:val="0"/>
          <w:sz w:val="24"/>
          <w:szCs w:val="24"/>
        </w:rPr>
        <w:drawing>
          <wp:inline distT="0" distB="0" distL="114300" distR="114300">
            <wp:extent cx="1962150" cy="17335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文件夹中存放实体文件，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TB.xml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存放本接口中规定的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xml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对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Zip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文件进行文件哈希（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hash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）运算，得一哈希值即数字摘要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MD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对数字摘要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MD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，利用投标人的私钥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PVA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（签名证书），采用非对称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RSA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算法（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SHA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），对数字摘要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MD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进行加密，即得数字签名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DS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随机产生一个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DES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对称密钥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SK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对原始的投标文件（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Zip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），用对称密钥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SK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进行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DES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加密得到加密信息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E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利用投标人公钥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PBC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（加密证书），采用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RSA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算法对对称密钥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SK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加密，形成数字信封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DE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若加密方式为招标人一次加密，获取招标文件、答疑文件信封节点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ZBREncryptPublicKey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获取招标人软证书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 xml:space="preserve"> 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，采用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RSA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算法对对称密钥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SK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加密，形成数字信封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DE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将加密信息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E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、数字信封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DE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、数字签名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DS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、有关公钥形成一个新的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xml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，修改文件后缀名，形成最终的投标文件（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**TF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48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节点名称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说明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UseZBFileGuid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使用的招标文件或者答疑文件的唯一标识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FileGLGuid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原始投标文件和加密投标文件的关联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Guid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UserIdentifier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生成投标文件的签名证书的序列号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Cryptograph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加密信息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E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TBFileDigitalSignal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投标文件的数字签名（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DS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ETBFileDigitalSignalHash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投标文件的数字签名（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DS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）的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TBFileDigitalSignal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ZBREncryptPublicKey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招标文件中招标人（招标代理）的公钥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PBC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（加密证书），对应招标文件中的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ZBREncryptPublicKey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TBRPublicKey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投标人的公钥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PBA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注：此证书为签名证书，主要用来校验投标文件的正确性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TBREncryptPublicKey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投标人的公钥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 xml:space="preserve">PBA 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注：此证书为加密证书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DigitalEnvelope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数字信封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DE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Base64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EDigitalEnvelopeHash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数字信封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DE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DigitalEnvelope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节点的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BiaoDuanNo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标段编号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BiaoDuanName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标段名称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UnitName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制作单位名称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必须有，不可以让用户输入，必须从证书项中获得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CreateData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创建投标文件的时间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例如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 xml:space="preserve"> 2009-10-29 14:00:31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MachineKey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生成电脑上的网卡Mac地址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Mac地址@硬盘唯一标识@CUP@主板号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 xml:space="preserve">长度255  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备注：MAC地址、硬盘唯一标识、CUP、主板号代码取出后应该和鲁大师一致的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MachineKeyHash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MachineKey的hash值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CreateData+Machinkey节点+的hash值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Version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总的投标文件的版本号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目前在本接口中为3.0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VersionHash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版本号的Hash值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版本号的hash值， CreateData+ Version节点+的hash值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Orghash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对称密钥SK的hash值原文的hash值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Ehash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加密信息E的hash值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Cryptograph节点hash值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SoftName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使用软件的名称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长度：50，此字段非常重要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CheckNo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检验码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按照每家公司申请，单独给，计算规则见附件“关于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CheckNo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的生成规则”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FileType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文件类型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无此字段，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0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表示完整投标文件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1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表示第一信封（技术）</w:t>
            </w:r>
          </w:p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表示第二信封（商务）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SoftVersion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工具版本号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例如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7.3.1.1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SoftVersionHash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（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CreateData +FileType+ SoftVersion</w:t>
            </w:r>
            <w:r>
              <w:rPr>
                <w:rFonts w:hint="eastAsia" w:ascii="仿宋_GB2312" w:hAnsi="华文仿宋" w:eastAsia="仿宋_GB2312" w:cs="华文仿宋"/>
                <w:snapToGrid w:val="0"/>
                <w:sz w:val="24"/>
                <w:szCs w:val="24"/>
              </w:rPr>
              <w:t>）的</w:t>
            </w:r>
            <w:r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  <w:t>Hash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华文仿宋" w:eastAsia="仿宋_GB2312" w:cs="华文仿宋"/>
                <w:snapToGrid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注：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1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、如果采用双信封或者多信封的话，蓝色部分用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@@@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隔开。</w:t>
      </w:r>
    </w:p>
    <w:p>
      <w:pPr>
        <w:spacing w:line="360" w:lineRule="auto"/>
        <w:ind w:firstLine="960" w:firstLineChars="400"/>
        <w:rPr>
          <w:rFonts w:ascii="仿宋_GB2312" w:hAnsi="华文仿宋" w:eastAsia="仿宋_GB2312" w:cs="华文仿宋"/>
          <w:snapToGrid w:val="0"/>
          <w:sz w:val="24"/>
          <w:szCs w:val="24"/>
        </w:rPr>
      </w:pP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2、接口文档中设计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Hash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计算采用的算法是</w:t>
      </w:r>
      <w:r>
        <w:rPr>
          <w:rFonts w:ascii="仿宋_GB2312" w:hAnsi="华文仿宋" w:eastAsia="仿宋_GB2312" w:cs="华文仿宋"/>
          <w:snapToGrid w:val="0"/>
          <w:sz w:val="24"/>
          <w:szCs w:val="24"/>
        </w:rPr>
        <w:t>SHA1</w:t>
      </w:r>
      <w:r>
        <w:rPr>
          <w:rFonts w:hint="eastAsia" w:ascii="仿宋_GB2312" w:hAnsi="华文仿宋" w:eastAsia="仿宋_GB2312" w:cs="华文仿宋"/>
          <w:snapToGrid w:val="0"/>
          <w:sz w:val="24"/>
          <w:szCs w:val="24"/>
        </w:rPr>
        <w:t>。</w:t>
      </w:r>
      <w:bookmarkStart w:id="22" w:name="_GoBack"/>
      <w:bookmarkEnd w:id="2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F9033"/>
    <w:multiLevelType w:val="multilevel"/>
    <w:tmpl w:val="A45F9033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</w:lvl>
    <w:lvl w:ilvl="1" w:tentative="0">
      <w:start w:val="1"/>
      <w:numFmt w:val="decimal"/>
      <w:isLgl/>
      <w:suff w:val="nothing"/>
      <w:lvlText w:val="%1.%2、"/>
      <w:lvlJc w:val="left"/>
      <w:pPr>
        <w:ind w:left="567" w:hanging="567"/>
      </w:pPr>
      <w:rPr>
        <w:rFonts w:ascii="Arial" w:hAnsi="Arial" w:cs="Arial"/>
      </w:rPr>
    </w:lvl>
    <w:lvl w:ilvl="2" w:tentative="0">
      <w:start w:val="1"/>
      <w:numFmt w:val="decimal"/>
      <w:pStyle w:val="3"/>
      <w:isLgl/>
      <w:suff w:val="nothing"/>
      <w:lvlText w:val="%1.%2.%3、"/>
      <w:lvlJc w:val="left"/>
      <w:pPr>
        <w:ind w:left="1069" w:hanging="1069"/>
      </w:pPr>
      <w:rPr>
        <w:rFonts w:hint="default" w:ascii="Arial" w:hAnsi="Arial" w:cs="Arial"/>
      </w:rPr>
    </w:lvl>
    <w:lvl w:ilvl="3" w:tentative="0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hint="default" w:ascii="Arial" w:hAnsi="Arial" w:cs="Arial"/>
        <w:sz w:val="24"/>
        <w:szCs w:val="24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ind w:left="992" w:hanging="992"/>
      </w:p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5" w:hanging="1135"/>
      </w:p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JjOGQzYjZiZjE5ZGE4ZmE1NTQ1ZjhjZTQ3YzAifQ=="/>
  </w:docVars>
  <w:rsids>
    <w:rsidRoot w:val="246F5E7A"/>
    <w:rsid w:val="000B083F"/>
    <w:rsid w:val="00301699"/>
    <w:rsid w:val="003E0F61"/>
    <w:rsid w:val="00453D04"/>
    <w:rsid w:val="00506174"/>
    <w:rsid w:val="0079741D"/>
    <w:rsid w:val="00C5306C"/>
    <w:rsid w:val="00D41D7A"/>
    <w:rsid w:val="09D35CDA"/>
    <w:rsid w:val="246F5E7A"/>
    <w:rsid w:val="2EED4C20"/>
    <w:rsid w:val="429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eastAsia="华文仿宋"/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b/>
      <w:bCs/>
      <w:sz w:val="2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4756</Words>
  <Characters>6972</Characters>
  <Lines>56</Lines>
  <Paragraphs>15</Paragraphs>
  <TotalTime>21</TotalTime>
  <ScaleCrop>false</ScaleCrop>
  <LinksUpToDate>false</LinksUpToDate>
  <CharactersWithSpaces>7084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2023-01-12T03:27:00Z</dcterms:created>
  <dc:creator>空格</dc:creator>
  <cp:lastModifiedBy>胡永刚</cp:lastModifiedBy>
  <dcterms:modified xsi:type="dcterms:W3CDTF">2023-03-01T01:08:04Z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4BE09C9AD38D4153AF376AF6287483FD</vt:lpwstr>
  </property>
</Properties>
</file>