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olor w:val="000000"/>
          <w:sz w:val="32"/>
        </w:rPr>
      </w:pPr>
    </w:p>
    <w:p>
      <w:pPr>
        <w:jc w:val="center"/>
        <w:rPr>
          <w:rFonts w:ascii="宋体" w:hAnsi="宋体"/>
          <w:b/>
          <w:bCs/>
          <w:color w:val="auto"/>
          <w:sz w:val="48"/>
          <w:szCs w:val="48"/>
        </w:rPr>
      </w:pPr>
      <w:r>
        <w:rPr>
          <w:rFonts w:hint="eastAsia" w:ascii="宋体" w:hAnsi="宋体"/>
          <w:b/>
          <w:bCs/>
          <w:color w:val="auto"/>
          <w:sz w:val="48"/>
          <w:szCs w:val="48"/>
        </w:rPr>
        <w:t>新沂市</w:t>
      </w:r>
      <w:r>
        <w:rPr>
          <w:rFonts w:hint="eastAsia" w:ascii="宋体" w:hAnsi="宋体"/>
          <w:b/>
          <w:bCs/>
          <w:color w:val="auto"/>
          <w:sz w:val="48"/>
          <w:szCs w:val="48"/>
          <w:lang w:eastAsia="zh-CN"/>
        </w:rPr>
        <w:t>公共资源交易中心</w:t>
      </w:r>
      <w:r>
        <w:rPr>
          <w:rFonts w:hint="eastAsia" w:ascii="宋体" w:hAnsi="宋体"/>
          <w:b/>
          <w:bCs/>
          <w:color w:val="auto"/>
          <w:sz w:val="48"/>
          <w:szCs w:val="48"/>
        </w:rPr>
        <w:t>档案整理</w:t>
      </w:r>
    </w:p>
    <w:p>
      <w:pPr>
        <w:jc w:val="center"/>
        <w:rPr>
          <w:rFonts w:ascii="宋体" w:hAnsi="宋体"/>
          <w:b/>
          <w:bCs/>
          <w:color w:val="1F497D"/>
          <w:sz w:val="48"/>
          <w:szCs w:val="48"/>
        </w:rPr>
      </w:pPr>
      <w:r>
        <w:rPr>
          <w:rFonts w:hint="eastAsia" w:ascii="宋体" w:hAnsi="宋体"/>
          <w:b/>
          <w:bCs/>
          <w:color w:val="auto"/>
          <w:sz w:val="48"/>
          <w:szCs w:val="48"/>
        </w:rPr>
        <w:t>及数字化服务项目</w:t>
      </w:r>
    </w:p>
    <w:p>
      <w:pPr>
        <w:jc w:val="center"/>
        <w:rPr>
          <w:rFonts w:ascii="宋体" w:hAnsi="宋体"/>
          <w:b/>
          <w:bCs/>
          <w:sz w:val="52"/>
          <w:szCs w:val="52"/>
        </w:rPr>
      </w:pPr>
    </w:p>
    <w:p>
      <w:pPr>
        <w:jc w:val="center"/>
        <w:rPr>
          <w:rFonts w:ascii="宋体" w:hAnsi="宋体"/>
          <w:b/>
          <w:bCs/>
          <w:sz w:val="52"/>
          <w:szCs w:val="52"/>
        </w:rPr>
      </w:pPr>
      <w:r>
        <w:rPr>
          <w:rFonts w:hint="eastAsia" w:ascii="宋体" w:hAnsi="宋体"/>
          <w:b/>
          <w:bCs/>
          <w:sz w:val="52"/>
          <w:szCs w:val="52"/>
        </w:rPr>
        <w:t>竞</w:t>
      </w:r>
    </w:p>
    <w:p>
      <w:pPr>
        <w:jc w:val="center"/>
        <w:rPr>
          <w:rFonts w:ascii="宋体" w:hAnsi="宋体"/>
          <w:b/>
          <w:bCs/>
          <w:sz w:val="52"/>
          <w:szCs w:val="52"/>
        </w:rPr>
      </w:pPr>
      <w:r>
        <w:rPr>
          <w:rFonts w:hint="eastAsia" w:ascii="宋体" w:hAnsi="宋体"/>
          <w:b/>
          <w:bCs/>
          <w:sz w:val="52"/>
          <w:szCs w:val="52"/>
        </w:rPr>
        <w:t>争</w:t>
      </w:r>
    </w:p>
    <w:p>
      <w:pPr>
        <w:jc w:val="center"/>
        <w:rPr>
          <w:rFonts w:ascii="宋体" w:hAnsi="宋体"/>
          <w:b/>
          <w:bCs/>
          <w:sz w:val="52"/>
          <w:szCs w:val="52"/>
        </w:rPr>
      </w:pPr>
      <w:r>
        <w:rPr>
          <w:rFonts w:hint="eastAsia" w:ascii="宋体" w:hAnsi="宋体"/>
          <w:b/>
          <w:bCs/>
          <w:sz w:val="52"/>
          <w:szCs w:val="52"/>
        </w:rPr>
        <w:t>性</w:t>
      </w:r>
    </w:p>
    <w:p>
      <w:pPr>
        <w:jc w:val="center"/>
        <w:rPr>
          <w:rFonts w:ascii="宋体" w:hAnsi="宋体"/>
          <w:b/>
          <w:bCs/>
          <w:sz w:val="52"/>
          <w:szCs w:val="52"/>
        </w:rPr>
      </w:pPr>
      <w:r>
        <w:rPr>
          <w:rFonts w:hint="eastAsia" w:ascii="宋体" w:hAnsi="宋体"/>
          <w:b/>
          <w:bCs/>
          <w:sz w:val="52"/>
          <w:szCs w:val="52"/>
        </w:rPr>
        <w:t>磋</w:t>
      </w:r>
    </w:p>
    <w:p>
      <w:pPr>
        <w:jc w:val="center"/>
        <w:rPr>
          <w:rFonts w:ascii="宋体" w:hAnsi="宋体"/>
          <w:b/>
          <w:bCs/>
          <w:sz w:val="52"/>
          <w:szCs w:val="52"/>
        </w:rPr>
      </w:pPr>
      <w:r>
        <w:rPr>
          <w:rFonts w:hint="eastAsia" w:ascii="宋体" w:hAnsi="宋体"/>
          <w:b/>
          <w:bCs/>
          <w:sz w:val="52"/>
          <w:szCs w:val="52"/>
        </w:rPr>
        <w:t>商</w:t>
      </w:r>
    </w:p>
    <w:p>
      <w:pPr>
        <w:jc w:val="center"/>
        <w:rPr>
          <w:rFonts w:ascii="宋体" w:hAnsi="宋体"/>
          <w:b/>
          <w:bCs/>
          <w:sz w:val="52"/>
          <w:szCs w:val="52"/>
        </w:rPr>
      </w:pPr>
      <w:r>
        <w:rPr>
          <w:rFonts w:hint="eastAsia" w:ascii="宋体" w:hAnsi="宋体"/>
          <w:b/>
          <w:bCs/>
          <w:sz w:val="52"/>
          <w:szCs w:val="52"/>
        </w:rPr>
        <w:t>文</w:t>
      </w:r>
    </w:p>
    <w:p>
      <w:pPr>
        <w:jc w:val="center"/>
        <w:rPr>
          <w:rFonts w:ascii="宋体" w:hAnsi="宋体"/>
          <w:b/>
          <w:bCs/>
          <w:sz w:val="32"/>
          <w:szCs w:val="32"/>
        </w:rPr>
      </w:pPr>
      <w:r>
        <w:rPr>
          <w:rFonts w:hint="eastAsia" w:ascii="宋体" w:hAnsi="宋体"/>
          <w:b/>
          <w:bCs/>
          <w:sz w:val="52"/>
          <w:szCs w:val="52"/>
        </w:rPr>
        <w:t>件</w:t>
      </w:r>
    </w:p>
    <w:p>
      <w:pPr>
        <w:spacing w:line="360" w:lineRule="auto"/>
        <w:rPr>
          <w:rFonts w:ascii="宋体" w:hAnsi="宋体"/>
          <w:b/>
          <w:bCs/>
          <w:sz w:val="32"/>
          <w:szCs w:val="32"/>
        </w:rPr>
      </w:pPr>
    </w:p>
    <w:p>
      <w:pPr>
        <w:spacing w:line="360" w:lineRule="auto"/>
        <w:jc w:val="center"/>
        <w:rPr>
          <w:rFonts w:hint="eastAsia"/>
          <w:b/>
          <w:bCs/>
          <w:sz w:val="30"/>
          <w:szCs w:val="30"/>
          <w:lang w:eastAsia="zh-CN"/>
        </w:rPr>
      </w:pPr>
      <w:bookmarkStart w:id="0" w:name="_Hlt101233737"/>
      <w:bookmarkEnd w:id="0"/>
      <w:bookmarkStart w:id="1" w:name="_Hlt101843627"/>
      <w:bookmarkEnd w:id="1"/>
      <w:r>
        <w:rPr>
          <w:rFonts w:hint="eastAsia" w:ascii="宋体" w:hAnsi="宋体"/>
          <w:b/>
          <w:bCs/>
          <w:sz w:val="32"/>
          <w:szCs w:val="32"/>
          <w:lang w:val="en-US" w:eastAsia="zh-CN"/>
        </w:rPr>
        <w:t xml:space="preserve"> </w:t>
      </w:r>
      <w:r>
        <w:rPr>
          <w:rFonts w:hint="eastAsia"/>
          <w:b/>
          <w:bCs/>
          <w:sz w:val="30"/>
          <w:szCs w:val="30"/>
          <w:lang w:eastAsia="zh-CN"/>
        </w:rPr>
        <w:t>新沂市公共资源交易中心</w:t>
      </w:r>
    </w:p>
    <w:p>
      <w:pPr>
        <w:spacing w:line="360" w:lineRule="auto"/>
        <w:jc w:val="center"/>
        <w:rPr>
          <w:rFonts w:hint="eastAsia" w:ascii="宋体" w:hAnsi="宋体"/>
          <w:b/>
          <w:bCs/>
          <w:sz w:val="32"/>
          <w:szCs w:val="32"/>
          <w:lang w:val="en-US" w:eastAsia="zh-CN"/>
        </w:rPr>
      </w:pPr>
      <w:r>
        <w:rPr>
          <w:rFonts w:hint="eastAsia" w:ascii="宋体" w:hAnsi="宋体"/>
          <w:b/>
          <w:bCs/>
          <w:sz w:val="32"/>
          <w:szCs w:val="32"/>
          <w:lang w:val="en-US" w:eastAsia="zh-CN"/>
        </w:rPr>
        <w:t xml:space="preserve"> </w:t>
      </w:r>
    </w:p>
    <w:p>
      <w:pPr>
        <w:spacing w:line="360" w:lineRule="auto"/>
        <w:jc w:val="center"/>
        <w:rPr>
          <w:rFonts w:ascii="宋体" w:hAnsi="宋体"/>
          <w:b/>
          <w:bCs/>
          <w:sz w:val="32"/>
          <w:szCs w:val="32"/>
          <w:highlight w:val="yellow"/>
        </w:rPr>
      </w:pPr>
      <w:r>
        <w:rPr>
          <w:rFonts w:hint="eastAsia" w:ascii="宋体" w:hAnsi="宋体"/>
          <w:b/>
          <w:bCs/>
          <w:sz w:val="32"/>
          <w:szCs w:val="32"/>
          <w:lang w:val="en-US" w:eastAsia="zh-CN"/>
        </w:rPr>
        <w:t xml:space="preserve"> </w:t>
      </w:r>
      <w:r>
        <w:rPr>
          <w:rFonts w:hint="eastAsia" w:ascii="宋体" w:hAnsi="宋体"/>
          <w:b/>
          <w:bCs/>
          <w:sz w:val="30"/>
          <w:szCs w:val="30"/>
          <w:highlight w:val="none"/>
        </w:rPr>
        <w:t>202</w:t>
      </w:r>
      <w:r>
        <w:rPr>
          <w:rFonts w:hint="eastAsia" w:ascii="宋体" w:hAnsi="宋体"/>
          <w:b/>
          <w:bCs/>
          <w:sz w:val="30"/>
          <w:szCs w:val="30"/>
          <w:highlight w:val="none"/>
          <w:lang w:val="en-US" w:eastAsia="zh-CN"/>
        </w:rPr>
        <w:t>2</w:t>
      </w:r>
      <w:r>
        <w:rPr>
          <w:rFonts w:ascii="宋体" w:hAnsi="宋体"/>
          <w:b/>
          <w:bCs/>
          <w:sz w:val="32"/>
          <w:szCs w:val="32"/>
          <w:highlight w:val="none"/>
        </w:rPr>
        <w:t>年</w:t>
      </w:r>
      <w:r>
        <w:rPr>
          <w:rFonts w:hint="eastAsia" w:ascii="宋体" w:hAnsi="宋体"/>
          <w:b/>
          <w:bCs/>
          <w:sz w:val="30"/>
          <w:szCs w:val="30"/>
          <w:highlight w:val="none"/>
        </w:rPr>
        <w:t>1</w:t>
      </w:r>
      <w:r>
        <w:rPr>
          <w:rFonts w:ascii="宋体" w:hAnsi="宋体"/>
          <w:b/>
          <w:bCs/>
          <w:sz w:val="30"/>
          <w:szCs w:val="30"/>
          <w:highlight w:val="none"/>
        </w:rPr>
        <w:t>1</w:t>
      </w:r>
      <w:r>
        <w:rPr>
          <w:rFonts w:ascii="宋体" w:hAnsi="宋体"/>
          <w:b/>
          <w:bCs/>
          <w:sz w:val="32"/>
          <w:szCs w:val="32"/>
          <w:highlight w:val="none"/>
        </w:rPr>
        <w:t>月</w:t>
      </w:r>
    </w:p>
    <w:p>
      <w:pPr>
        <w:widowControl/>
        <w:spacing w:line="360" w:lineRule="auto"/>
        <w:jc w:val="left"/>
        <w:rPr>
          <w:rFonts w:ascii="宋体" w:hAnsi="Arial" w:cs="宋体"/>
          <w:sz w:val="36"/>
          <w:szCs w:val="36"/>
        </w:rPr>
        <w:sectPr>
          <w:pgSz w:w="11907" w:h="16840"/>
          <w:pgMar w:top="1871" w:right="1474" w:bottom="1701" w:left="1588" w:header="720" w:footer="720" w:gutter="0"/>
          <w:cols w:space="720" w:num="1"/>
          <w:docGrid w:type="lines" w:linePitch="312" w:charSpace="0"/>
        </w:sectPr>
      </w:pPr>
    </w:p>
    <w:p>
      <w:pPr>
        <w:rPr>
          <w:rFonts w:ascii="仿宋" w:hAnsi="仿宋" w:eastAsia="仿宋"/>
          <w:sz w:val="32"/>
          <w:szCs w:val="32"/>
        </w:rPr>
      </w:pPr>
    </w:p>
    <w:p>
      <w:pPr>
        <w:widowControl/>
        <w:spacing w:before="100" w:beforeAutospacing="1" w:after="100" w:afterAutospacing="1"/>
        <w:jc w:val="center"/>
      </w:pPr>
      <w:r>
        <w:rPr>
          <w:rFonts w:ascii="楷体_GB2312" w:hAnsi="宋体" w:eastAsia="楷体_GB2312" w:cs="楷体_GB2312"/>
          <w:color w:val="000000"/>
          <w:kern w:val="0"/>
          <w:sz w:val="44"/>
          <w:szCs w:val="44"/>
          <w:shd w:val="clear" w:color="auto" w:fill="FFFFFF"/>
          <w:lang w:bidi="ar"/>
        </w:rPr>
        <w:t>目录</w:t>
      </w:r>
    </w:p>
    <w:p>
      <w:pPr>
        <w:widowControl/>
        <w:spacing w:before="100" w:beforeAutospacing="1" w:after="100" w:afterAutospacing="1"/>
        <w:jc w:val="center"/>
      </w:pPr>
      <w:r>
        <w:rPr>
          <w:rFonts w:ascii="楷体_GB2312" w:hAnsi="宋体" w:eastAsia="楷体_GB2312" w:cs="楷体_GB2312"/>
          <w:color w:val="000000"/>
          <w:kern w:val="0"/>
          <w:sz w:val="36"/>
          <w:szCs w:val="36"/>
          <w:shd w:val="clear" w:color="auto" w:fill="FFFFFF"/>
          <w:lang w:bidi="ar"/>
        </w:rPr>
        <w:t> </w:t>
      </w:r>
    </w:p>
    <w:p>
      <w:pPr>
        <w:pStyle w:val="19"/>
        <w:tabs>
          <w:tab w:val="right" w:leader="dot" w:pos="8296"/>
        </w:tabs>
        <w:jc w:val="both"/>
        <w:rPr>
          <w:color w:val="000000"/>
          <w:sz w:val="28"/>
          <w:szCs w:val="32"/>
          <w:shd w:val="clear" w:color="auto" w:fill="FFFFFF"/>
        </w:rPr>
      </w:pPr>
      <w:r>
        <w:rPr>
          <w:rFonts w:hint="eastAsia"/>
          <w:color w:val="000000"/>
          <w:sz w:val="28"/>
          <w:szCs w:val="32"/>
          <w:shd w:val="clear" w:color="auto" w:fill="FFFFFF"/>
        </w:rPr>
        <w:t>一、竞争性磋商公告</w:t>
      </w:r>
    </w:p>
    <w:p>
      <w:pPr>
        <w:pStyle w:val="19"/>
        <w:tabs>
          <w:tab w:val="right" w:leader="dot" w:pos="8296"/>
        </w:tabs>
        <w:jc w:val="both"/>
        <w:rPr>
          <w:color w:val="000000"/>
          <w:sz w:val="28"/>
          <w:szCs w:val="32"/>
          <w:shd w:val="clear" w:color="auto" w:fill="FFFFFF"/>
        </w:rPr>
      </w:pPr>
      <w:r>
        <w:rPr>
          <w:rFonts w:hint="eastAsia"/>
          <w:color w:val="000000"/>
          <w:sz w:val="28"/>
          <w:szCs w:val="32"/>
          <w:shd w:val="clear" w:color="auto" w:fill="FFFFFF"/>
        </w:rPr>
        <w:t>二、磋商采购文件</w:t>
      </w:r>
    </w:p>
    <w:p>
      <w:pPr>
        <w:pStyle w:val="19"/>
        <w:tabs>
          <w:tab w:val="right" w:leader="dot" w:pos="8296"/>
        </w:tabs>
        <w:jc w:val="both"/>
        <w:rPr>
          <w:sz w:val="28"/>
          <w:szCs w:val="32"/>
        </w:rPr>
      </w:pPr>
      <w:r>
        <w:rPr>
          <w:rFonts w:hint="eastAsia"/>
          <w:color w:val="000000"/>
          <w:sz w:val="28"/>
          <w:szCs w:val="32"/>
          <w:shd w:val="clear" w:color="auto" w:fill="FFFFFF"/>
        </w:rPr>
        <w:t>三、磋商成交原则及评分标准</w:t>
      </w:r>
    </w:p>
    <w:p>
      <w:pPr>
        <w:pStyle w:val="19"/>
        <w:tabs>
          <w:tab w:val="right" w:leader="dot" w:pos="8296"/>
        </w:tabs>
        <w:jc w:val="both"/>
        <w:rPr>
          <w:color w:val="000000"/>
          <w:sz w:val="28"/>
          <w:szCs w:val="32"/>
          <w:shd w:val="clear" w:color="auto" w:fill="FFFFFF"/>
        </w:rPr>
      </w:pPr>
      <w:r>
        <w:rPr>
          <w:rFonts w:hint="eastAsia"/>
          <w:color w:val="000000"/>
          <w:sz w:val="28"/>
          <w:szCs w:val="32"/>
          <w:shd w:val="clear" w:color="auto" w:fill="FFFFFF"/>
        </w:rPr>
        <w:t>四、合同主要条款</w:t>
      </w:r>
    </w:p>
    <w:p>
      <w:pPr>
        <w:pStyle w:val="19"/>
        <w:tabs>
          <w:tab w:val="right" w:leader="dot" w:pos="8296"/>
        </w:tabs>
        <w:jc w:val="both"/>
        <w:rPr>
          <w:color w:val="000000"/>
          <w:sz w:val="28"/>
          <w:szCs w:val="32"/>
          <w:shd w:val="clear" w:color="auto" w:fill="FFFFFF"/>
        </w:rPr>
      </w:pPr>
      <w:r>
        <w:rPr>
          <w:rFonts w:hint="eastAsia"/>
          <w:color w:val="000000"/>
          <w:sz w:val="28"/>
          <w:szCs w:val="32"/>
          <w:shd w:val="clear" w:color="auto" w:fill="FFFFFF"/>
        </w:rPr>
        <w:t>五</w:t>
      </w:r>
      <w:r>
        <w:rPr>
          <w:color w:val="000000"/>
          <w:sz w:val="28"/>
          <w:szCs w:val="32"/>
          <w:shd w:val="clear" w:color="auto" w:fill="FFFFFF"/>
        </w:rPr>
        <w:t>、附 件</w:t>
      </w:r>
    </w:p>
    <w:p>
      <w:bookmarkStart w:id="2" w:name="_Toc521582473"/>
      <w:r>
        <w:rPr>
          <w:rFonts w:cs="宋体"/>
          <w:b/>
          <w:bCs/>
          <w:color w:val="000000"/>
          <w:kern w:val="44"/>
          <w:sz w:val="36"/>
          <w:szCs w:val="36"/>
          <w:shd w:val="clear" w:color="auto" w:fill="FFFFFF"/>
        </w:rPr>
        <w:br w:type="page"/>
      </w:r>
    </w:p>
    <w:bookmarkEnd w:id="2"/>
    <w:p>
      <w:pPr>
        <w:spacing w:line="480" w:lineRule="auto"/>
        <w:jc w:val="center"/>
        <w:rPr>
          <w:rFonts w:ascii="宋体" w:hAnsi="宋体"/>
          <w:b/>
          <w:sz w:val="32"/>
          <w:szCs w:val="32"/>
        </w:rPr>
      </w:pPr>
      <w:r>
        <w:rPr>
          <w:rFonts w:ascii="宋体" w:hAnsi="宋体"/>
          <w:b/>
          <w:sz w:val="32"/>
          <w:szCs w:val="32"/>
        </w:rPr>
        <w:t>一、竞争性磋商公告</w:t>
      </w:r>
    </w:p>
    <w:tbl>
      <w:tblPr>
        <w:tblStyle w:val="24"/>
        <w:tblW w:w="9230" w:type="dxa"/>
        <w:tblInd w:w="0"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9230"/>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PrEx>
        <w:tc>
          <w:tcPr>
            <w:tcW w:w="9230" w:type="dxa"/>
            <w:tcBorders>
              <w:top w:val="single" w:color="000000" w:sz="6" w:space="0"/>
              <w:left w:val="single" w:color="000000" w:sz="6" w:space="0"/>
              <w:bottom w:val="single" w:color="000000" w:sz="6" w:space="0"/>
              <w:right w:val="single" w:color="000000" w:sz="6" w:space="0"/>
            </w:tcBorders>
          </w:tcPr>
          <w:p>
            <w:pPr>
              <w:spacing w:line="400" w:lineRule="exact"/>
              <w:ind w:firstLine="482" w:firstLineChars="200"/>
              <w:rPr>
                <w:rFonts w:ascii="宋体" w:hAnsi="宋体"/>
                <w:b/>
                <w:sz w:val="24"/>
                <w:highlight w:val="none"/>
              </w:rPr>
            </w:pPr>
            <w:r>
              <w:rPr>
                <w:rFonts w:hint="eastAsia" w:ascii="宋体" w:hAnsi="宋体"/>
                <w:b/>
                <w:sz w:val="24"/>
                <w:highlight w:val="none"/>
              </w:rPr>
              <w:t>项目概况：</w:t>
            </w:r>
          </w:p>
          <w:p>
            <w:pPr>
              <w:spacing w:line="400" w:lineRule="exact"/>
              <w:ind w:firstLine="480" w:firstLineChars="200"/>
              <w:rPr>
                <w:rFonts w:ascii="宋体" w:hAnsi="宋体" w:cs="宋体"/>
                <w:kern w:val="0"/>
                <w:sz w:val="24"/>
                <w:highlight w:val="none"/>
              </w:rPr>
            </w:pPr>
            <w:r>
              <w:rPr>
                <w:rFonts w:hint="eastAsia" w:ascii="宋体" w:hAnsi="宋体"/>
                <w:sz w:val="24"/>
                <w:highlight w:val="none"/>
                <w:u w:val="single"/>
              </w:rPr>
              <w:t>新沂市</w:t>
            </w:r>
            <w:r>
              <w:rPr>
                <w:rFonts w:hint="eastAsia" w:ascii="宋体" w:hAnsi="宋体"/>
                <w:sz w:val="24"/>
                <w:highlight w:val="none"/>
                <w:u w:val="single"/>
                <w:lang w:eastAsia="zh-CN"/>
              </w:rPr>
              <w:t>公共资源交易中心</w:t>
            </w:r>
            <w:r>
              <w:rPr>
                <w:rFonts w:hint="eastAsia" w:ascii="宋体" w:hAnsi="宋体"/>
                <w:sz w:val="24"/>
                <w:highlight w:val="none"/>
                <w:u w:val="single"/>
              </w:rPr>
              <w:t>档案整理及数字化服务采购项目</w:t>
            </w:r>
            <w:r>
              <w:rPr>
                <w:rFonts w:hint="eastAsia" w:ascii="宋体" w:hAnsi="宋体"/>
                <w:sz w:val="24"/>
                <w:highlight w:val="none"/>
              </w:rPr>
              <w:t>的潜在供应商应在“徐州</w:t>
            </w:r>
            <w:r>
              <w:rPr>
                <w:rFonts w:hint="eastAsia" w:ascii="宋体" w:hAnsi="宋体"/>
                <w:sz w:val="24"/>
                <w:highlight w:val="none"/>
                <w:lang w:eastAsia="zh-CN"/>
              </w:rPr>
              <w:t>市公共资源交易平台</w:t>
            </w:r>
            <w:r>
              <w:rPr>
                <w:rFonts w:hint="eastAsia" w:ascii="宋体" w:hAnsi="宋体"/>
                <w:sz w:val="24"/>
                <w:highlight w:val="none"/>
              </w:rPr>
              <w:t>”（ 网址：http://ggzy.zwb.xz.gov.cn/index.html）获取采购文件，并于</w:t>
            </w:r>
            <w:r>
              <w:rPr>
                <w:rFonts w:hint="eastAsia" w:ascii="宋体" w:hAnsi="宋体"/>
                <w:sz w:val="24"/>
                <w:highlight w:val="none"/>
                <w:u w:val="single"/>
              </w:rPr>
              <w:t>202</w:t>
            </w:r>
            <w:r>
              <w:rPr>
                <w:rFonts w:hint="eastAsia" w:ascii="宋体" w:hAnsi="宋体"/>
                <w:sz w:val="24"/>
                <w:highlight w:val="none"/>
                <w:u w:val="single"/>
                <w:lang w:val="en-US" w:eastAsia="zh-CN"/>
              </w:rPr>
              <w:t>2</w:t>
            </w:r>
            <w:r>
              <w:rPr>
                <w:rFonts w:hint="eastAsia" w:ascii="宋体" w:hAnsi="宋体"/>
                <w:sz w:val="24"/>
                <w:highlight w:val="none"/>
              </w:rPr>
              <w:t>年</w:t>
            </w:r>
            <w:r>
              <w:rPr>
                <w:rFonts w:hint="eastAsia" w:ascii="宋体" w:hAnsi="宋体"/>
                <w:sz w:val="24"/>
                <w:highlight w:val="none"/>
                <w:u w:val="single"/>
                <w:lang w:val="en-US" w:eastAsia="zh-CN"/>
              </w:rPr>
              <w:t xml:space="preserve"> 12 </w:t>
            </w:r>
            <w:r>
              <w:rPr>
                <w:rFonts w:hint="eastAsia" w:ascii="宋体" w:hAnsi="宋体"/>
                <w:sz w:val="24"/>
                <w:highlight w:val="none"/>
              </w:rPr>
              <w:t>月</w:t>
            </w:r>
            <w:r>
              <w:rPr>
                <w:rFonts w:hint="eastAsia" w:ascii="宋体" w:hAnsi="宋体"/>
                <w:sz w:val="24"/>
                <w:highlight w:val="none"/>
                <w:u w:val="single"/>
                <w:lang w:val="en-US" w:eastAsia="zh-CN"/>
              </w:rPr>
              <w:t xml:space="preserve"> 9  </w:t>
            </w:r>
            <w:r>
              <w:rPr>
                <w:rFonts w:hint="eastAsia" w:ascii="宋体" w:hAnsi="宋体"/>
                <w:sz w:val="24"/>
                <w:highlight w:val="none"/>
              </w:rPr>
              <w:t>日</w:t>
            </w:r>
            <w:r>
              <w:rPr>
                <w:rFonts w:hint="eastAsia" w:ascii="宋体" w:hAnsi="宋体"/>
                <w:sz w:val="24"/>
                <w:highlight w:val="none"/>
                <w:u w:val="single"/>
                <w:lang w:val="en-US" w:eastAsia="zh-CN"/>
              </w:rPr>
              <w:t xml:space="preserve">  9 </w:t>
            </w:r>
            <w:r>
              <w:rPr>
                <w:rFonts w:hint="eastAsia" w:ascii="宋体" w:hAnsi="宋体"/>
                <w:sz w:val="24"/>
                <w:highlight w:val="none"/>
              </w:rPr>
              <w:t>点</w:t>
            </w:r>
            <w:r>
              <w:rPr>
                <w:rFonts w:hint="eastAsia" w:ascii="宋体" w:hAnsi="宋体"/>
                <w:sz w:val="24"/>
                <w:highlight w:val="none"/>
                <w:u w:val="single"/>
                <w:lang w:val="en-US" w:eastAsia="zh-CN"/>
              </w:rPr>
              <w:t xml:space="preserve">  30  </w:t>
            </w:r>
            <w:r>
              <w:rPr>
                <w:rFonts w:hint="eastAsia" w:ascii="宋体" w:hAnsi="宋体"/>
                <w:sz w:val="24"/>
                <w:highlight w:val="none"/>
              </w:rPr>
              <w:t xml:space="preserve">分（北京时间）前提交响应文件。 </w:t>
            </w:r>
          </w:p>
        </w:tc>
      </w:tr>
    </w:tbl>
    <w:p>
      <w:pPr>
        <w:tabs>
          <w:tab w:val="left" w:pos="3705"/>
        </w:tabs>
        <w:snapToGrid w:val="0"/>
        <w:spacing w:line="360" w:lineRule="auto"/>
        <w:ind w:firstLine="482" w:firstLineChars="200"/>
        <w:rPr>
          <w:rFonts w:ascii="宋体" w:hAnsi="宋体"/>
          <w:b/>
          <w:sz w:val="24"/>
          <w:highlight w:val="none"/>
        </w:rPr>
      </w:pPr>
    </w:p>
    <w:p>
      <w:pPr>
        <w:tabs>
          <w:tab w:val="left" w:pos="3705"/>
        </w:tabs>
        <w:snapToGrid w:val="0"/>
        <w:spacing w:line="360" w:lineRule="auto"/>
        <w:ind w:firstLine="482" w:firstLineChars="200"/>
        <w:rPr>
          <w:rFonts w:ascii="宋体" w:hAnsi="宋体"/>
          <w:b/>
          <w:sz w:val="24"/>
          <w:highlight w:val="none"/>
        </w:rPr>
      </w:pPr>
      <w:r>
        <w:rPr>
          <w:rFonts w:hint="eastAsia" w:ascii="宋体" w:hAnsi="宋体"/>
          <w:b/>
          <w:sz w:val="24"/>
          <w:highlight w:val="none"/>
        </w:rPr>
        <w:t>一、项目基本情况</w:t>
      </w:r>
    </w:p>
    <w:p>
      <w:pPr>
        <w:spacing w:line="360" w:lineRule="auto"/>
        <w:ind w:firstLine="480" w:firstLineChars="200"/>
        <w:rPr>
          <w:color w:val="auto"/>
          <w:highlight w:val="none"/>
        </w:rPr>
      </w:pPr>
      <w:r>
        <w:rPr>
          <w:rFonts w:hint="eastAsia" w:ascii="宋体" w:hAnsi="宋体"/>
          <w:sz w:val="24"/>
          <w:highlight w:val="none"/>
        </w:rPr>
        <w:t>项目编号：</w:t>
      </w:r>
      <w:r>
        <w:rPr>
          <w:rFonts w:hint="eastAsia" w:ascii="宋体" w:hAnsi="宋体"/>
          <w:color w:val="auto"/>
          <w:sz w:val="24"/>
          <w:highlight w:val="none"/>
        </w:rPr>
        <w:t>新采磋（202</w:t>
      </w: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hint="eastAsia" w:ascii="宋体" w:hAnsi="宋体"/>
          <w:color w:val="auto"/>
          <w:sz w:val="24"/>
          <w:highlight w:val="none"/>
          <w:lang w:val="en-US" w:eastAsia="zh-CN"/>
        </w:rPr>
        <w:t>XYZYJY</w:t>
      </w:r>
      <w:r>
        <w:rPr>
          <w:rFonts w:hint="eastAsia" w:ascii="宋体" w:hAnsi="宋体"/>
          <w:color w:val="auto"/>
          <w:sz w:val="24"/>
          <w:highlight w:val="none"/>
        </w:rPr>
        <w:t xml:space="preserve"> </w:t>
      </w:r>
      <w:r>
        <w:rPr>
          <w:rFonts w:hint="eastAsia" w:ascii="宋体" w:hAnsi="宋体"/>
          <w:color w:val="auto"/>
          <w:sz w:val="24"/>
          <w:highlight w:val="none"/>
          <w:lang w:val="en-US" w:eastAsia="zh-CN"/>
        </w:rPr>
        <w:t>1101</w:t>
      </w:r>
    </w:p>
    <w:p>
      <w:pPr>
        <w:spacing w:line="360" w:lineRule="auto"/>
        <w:ind w:firstLine="480" w:firstLineChars="200"/>
        <w:rPr>
          <w:rFonts w:ascii="宋体" w:hAnsi="宋体"/>
          <w:sz w:val="24"/>
          <w:highlight w:val="none"/>
        </w:rPr>
      </w:pPr>
      <w:r>
        <w:rPr>
          <w:rFonts w:hint="eastAsia" w:ascii="宋体" w:hAnsi="宋体"/>
          <w:sz w:val="24"/>
          <w:highlight w:val="none"/>
        </w:rPr>
        <w:t>项目名称：新沂市</w:t>
      </w:r>
      <w:r>
        <w:rPr>
          <w:rFonts w:hint="eastAsia" w:ascii="宋体" w:hAnsi="宋体"/>
          <w:sz w:val="24"/>
          <w:highlight w:val="none"/>
          <w:lang w:val="en-US" w:eastAsia="zh-CN"/>
        </w:rPr>
        <w:t>公共资源交易中心</w:t>
      </w:r>
      <w:r>
        <w:rPr>
          <w:rFonts w:hint="eastAsia" w:ascii="宋体" w:hAnsi="宋体"/>
          <w:sz w:val="24"/>
          <w:highlight w:val="none"/>
        </w:rPr>
        <w:t>档案整理及数字化服务项目</w:t>
      </w:r>
    </w:p>
    <w:p>
      <w:pPr>
        <w:spacing w:line="360" w:lineRule="auto"/>
        <w:ind w:firstLine="480" w:firstLineChars="200"/>
        <w:rPr>
          <w:rFonts w:ascii="宋体" w:hAnsi="宋体"/>
          <w:sz w:val="24"/>
          <w:highlight w:val="none"/>
        </w:rPr>
      </w:pPr>
      <w:r>
        <w:rPr>
          <w:rFonts w:hint="eastAsia" w:ascii="宋体" w:hAnsi="宋体"/>
          <w:sz w:val="24"/>
          <w:highlight w:val="none"/>
        </w:rPr>
        <w:t>采购方式：竞争性磋商</w:t>
      </w:r>
    </w:p>
    <w:p>
      <w:pPr>
        <w:spacing w:line="360" w:lineRule="auto"/>
        <w:ind w:firstLine="480" w:firstLineChars="200"/>
        <w:rPr>
          <w:rFonts w:ascii="宋体" w:hAnsi="宋体"/>
          <w:sz w:val="24"/>
          <w:highlight w:val="none"/>
        </w:rPr>
      </w:pPr>
      <w:r>
        <w:rPr>
          <w:rFonts w:hint="eastAsia" w:ascii="宋体" w:hAnsi="宋体"/>
          <w:sz w:val="24"/>
          <w:highlight w:val="none"/>
        </w:rPr>
        <w:t>预算金额：</w:t>
      </w:r>
      <w:r>
        <w:rPr>
          <w:rFonts w:hint="eastAsia" w:ascii="宋体" w:hAnsi="宋体"/>
          <w:sz w:val="24"/>
          <w:highlight w:val="none"/>
          <w:lang w:val="en-US" w:eastAsia="zh-CN"/>
        </w:rPr>
        <w:t>24万元</w:t>
      </w:r>
    </w:p>
    <w:p>
      <w:pPr>
        <w:spacing w:line="360" w:lineRule="auto"/>
        <w:ind w:firstLine="480" w:firstLineChars="200"/>
        <w:rPr>
          <w:rFonts w:ascii="宋体" w:hAnsi="宋体"/>
          <w:strike/>
          <w:color w:val="FF0000"/>
          <w:sz w:val="24"/>
          <w:highlight w:val="none"/>
        </w:rPr>
      </w:pPr>
      <w:r>
        <w:rPr>
          <w:rFonts w:hint="eastAsia" w:ascii="宋体" w:hAnsi="宋体"/>
          <w:sz w:val="24"/>
          <w:highlight w:val="none"/>
        </w:rPr>
        <w:t>最高限价：</w:t>
      </w:r>
      <w:r>
        <w:rPr>
          <w:rFonts w:hint="eastAsia" w:ascii="宋体" w:hAnsi="宋体"/>
          <w:sz w:val="24"/>
          <w:highlight w:val="none"/>
          <w:lang w:val="en-US" w:eastAsia="zh-CN"/>
        </w:rPr>
        <w:t>本项目按单价报价，最高单价不超过0.4元/张。</w:t>
      </w:r>
    </w:p>
    <w:p>
      <w:pPr>
        <w:spacing w:line="360" w:lineRule="auto"/>
        <w:ind w:firstLine="480" w:firstLineChars="200"/>
        <w:rPr>
          <w:rFonts w:hint="eastAsia" w:ascii="宋体" w:hAnsi="宋体"/>
          <w:sz w:val="24"/>
          <w:highlight w:val="none"/>
        </w:rPr>
      </w:pPr>
      <w:r>
        <w:rPr>
          <w:rFonts w:hint="eastAsia" w:ascii="宋体" w:hAnsi="宋体"/>
          <w:sz w:val="24"/>
          <w:highlight w:val="none"/>
        </w:rPr>
        <w:t>采购需求：本次采购项目为</w:t>
      </w:r>
      <w:r>
        <w:rPr>
          <w:rFonts w:hint="eastAsia" w:ascii="宋体" w:hAnsi="宋体"/>
          <w:sz w:val="24"/>
          <w:highlight w:val="none"/>
          <w:lang w:eastAsia="zh-CN"/>
        </w:rPr>
        <w:t>对</w:t>
      </w:r>
      <w:r>
        <w:rPr>
          <w:rFonts w:hint="eastAsia" w:ascii="宋体" w:hAnsi="宋体"/>
          <w:color w:val="auto"/>
          <w:sz w:val="24"/>
          <w:highlight w:val="none"/>
          <w:lang w:eastAsia="zh-CN"/>
        </w:rPr>
        <w:t>新沂市公共资源交易中心</w:t>
      </w:r>
      <w:r>
        <w:rPr>
          <w:rFonts w:hint="eastAsia" w:ascii="宋体" w:hAnsi="宋体"/>
          <w:b/>
          <w:bCs/>
          <w:color w:val="auto"/>
          <w:sz w:val="24"/>
          <w:highlight w:val="none"/>
          <w:u w:val="single"/>
          <w:lang w:val="en-US" w:eastAsia="zh-CN"/>
        </w:rPr>
        <w:t>2015</w:t>
      </w:r>
      <w:r>
        <w:rPr>
          <w:rFonts w:hint="eastAsia" w:ascii="宋体" w:hAnsi="宋体"/>
          <w:b/>
          <w:bCs/>
          <w:color w:val="auto"/>
          <w:sz w:val="24"/>
          <w:highlight w:val="none"/>
          <w:u w:val="single"/>
          <w:lang w:eastAsia="zh-CN"/>
        </w:rPr>
        <w:t>年</w:t>
      </w:r>
      <w:r>
        <w:rPr>
          <w:rFonts w:hint="eastAsia" w:ascii="宋体" w:hAnsi="宋体"/>
          <w:b/>
          <w:bCs/>
          <w:color w:val="auto"/>
          <w:sz w:val="24"/>
          <w:highlight w:val="none"/>
          <w:u w:val="single"/>
          <w:lang w:val="en-US" w:eastAsia="zh-CN"/>
        </w:rPr>
        <w:t>1月</w:t>
      </w:r>
      <w:r>
        <w:rPr>
          <w:rFonts w:hint="eastAsia" w:ascii="宋体" w:hAnsi="宋体"/>
          <w:b/>
          <w:bCs/>
          <w:color w:val="auto"/>
          <w:sz w:val="24"/>
          <w:highlight w:val="none"/>
          <w:u w:val="single"/>
          <w:lang w:eastAsia="zh-CN"/>
        </w:rPr>
        <w:t>至</w:t>
      </w:r>
      <w:r>
        <w:rPr>
          <w:rFonts w:hint="eastAsia" w:ascii="宋体" w:hAnsi="宋体"/>
          <w:b/>
          <w:bCs/>
          <w:color w:val="auto"/>
          <w:sz w:val="24"/>
          <w:highlight w:val="none"/>
          <w:u w:val="single"/>
          <w:lang w:val="en-US" w:eastAsia="zh-CN"/>
        </w:rPr>
        <w:t>2020年12月</w:t>
      </w:r>
      <w:r>
        <w:rPr>
          <w:rFonts w:hint="eastAsia" w:ascii="宋体" w:hAnsi="宋体"/>
          <w:sz w:val="24"/>
          <w:highlight w:val="none"/>
        </w:rPr>
        <w:t>开展归档整理和数字化</w:t>
      </w:r>
      <w:r>
        <w:rPr>
          <w:rFonts w:hint="eastAsia" w:ascii="宋体" w:hAnsi="宋体"/>
          <w:sz w:val="24"/>
          <w:highlight w:val="none"/>
          <w:lang w:eastAsia="zh-CN"/>
        </w:rPr>
        <w:t>归整</w:t>
      </w:r>
      <w:r>
        <w:rPr>
          <w:rFonts w:hint="eastAsia" w:ascii="宋体" w:hAnsi="宋体"/>
          <w:sz w:val="24"/>
          <w:highlight w:val="none"/>
        </w:rPr>
        <w:t>工作。工作内容应包</w:t>
      </w:r>
      <w:r>
        <w:rPr>
          <w:rFonts w:hint="eastAsia" w:ascii="宋体" w:hAnsi="宋体"/>
          <w:sz w:val="24"/>
          <w:highlight w:val="none"/>
          <w:lang w:eastAsia="zh-CN"/>
        </w:rPr>
        <w:t>含</w:t>
      </w:r>
      <w:r>
        <w:rPr>
          <w:rFonts w:hint="eastAsia" w:ascii="宋体" w:hAnsi="宋体"/>
          <w:sz w:val="24"/>
          <w:highlight w:val="none"/>
        </w:rPr>
        <w:t>归档资料的分类、鉴定保管期限、组卷、排列、编页码、编档号、装盒、填写盒面等。</w:t>
      </w:r>
      <w:r>
        <w:rPr>
          <w:rFonts w:hint="eastAsia" w:ascii="宋体" w:hAnsi="宋体"/>
          <w:sz w:val="24"/>
          <w:highlight w:val="none"/>
          <w:lang w:eastAsia="zh-CN"/>
        </w:rPr>
        <w:t>原始纸质</w:t>
      </w:r>
      <w:r>
        <w:rPr>
          <w:rFonts w:hint="eastAsia" w:ascii="宋体" w:hAnsi="宋体"/>
          <w:sz w:val="24"/>
          <w:highlight w:val="none"/>
        </w:rPr>
        <w:t>档案</w:t>
      </w:r>
      <w:r>
        <w:rPr>
          <w:rFonts w:hint="eastAsia" w:ascii="宋体" w:hAnsi="宋体"/>
          <w:sz w:val="24"/>
          <w:highlight w:val="none"/>
          <w:lang w:eastAsia="zh-CN"/>
        </w:rPr>
        <w:t>拆分、</w:t>
      </w:r>
      <w:r>
        <w:rPr>
          <w:rFonts w:hint="eastAsia" w:ascii="宋体" w:hAnsi="宋体"/>
          <w:sz w:val="24"/>
          <w:highlight w:val="none"/>
        </w:rPr>
        <w:t>扫描、图像存储、PDF制作、数据验收、数据提交、数据备份</w:t>
      </w:r>
      <w:r>
        <w:rPr>
          <w:rFonts w:hint="eastAsia" w:ascii="宋体" w:hAnsi="宋体"/>
          <w:sz w:val="24"/>
          <w:highlight w:val="none"/>
          <w:lang w:eastAsia="zh-CN"/>
        </w:rPr>
        <w:t>、档案软件录入（含档案目录条目输入）、纸质档案胶装还原</w:t>
      </w:r>
      <w:r>
        <w:rPr>
          <w:rFonts w:hint="eastAsia" w:ascii="宋体" w:hAnsi="宋体"/>
          <w:sz w:val="24"/>
          <w:highlight w:val="none"/>
        </w:rPr>
        <w:t>等工作。</w:t>
      </w:r>
    </w:p>
    <w:p>
      <w:pPr>
        <w:spacing w:line="360" w:lineRule="auto"/>
        <w:ind w:firstLine="480" w:firstLineChars="200"/>
        <w:rPr>
          <w:rFonts w:hint="eastAsia" w:ascii="宋体" w:hAnsi="宋体" w:eastAsia="宋体"/>
          <w:color w:val="FF0000"/>
          <w:sz w:val="24"/>
          <w:highlight w:val="yellow"/>
          <w:lang w:eastAsia="zh-CN"/>
        </w:rPr>
      </w:pPr>
      <w:r>
        <w:rPr>
          <w:rFonts w:hint="eastAsia" w:ascii="宋体" w:hAnsi="宋体"/>
          <w:sz w:val="24"/>
          <w:highlight w:val="none"/>
        </w:rPr>
        <w:t>合同履行期限：合同签订生效后，根据采购人工作安排，</w:t>
      </w:r>
      <w:r>
        <w:rPr>
          <w:rFonts w:hint="eastAsia" w:ascii="宋体" w:hAnsi="宋体"/>
          <w:b/>
          <w:bCs/>
          <w:color w:val="auto"/>
          <w:sz w:val="24"/>
          <w:highlight w:val="none"/>
          <w:u w:val="single"/>
        </w:rPr>
        <w:t>202</w:t>
      </w:r>
      <w:r>
        <w:rPr>
          <w:rFonts w:hint="eastAsia" w:ascii="宋体" w:hAnsi="宋体"/>
          <w:b/>
          <w:bCs/>
          <w:color w:val="auto"/>
          <w:sz w:val="24"/>
          <w:highlight w:val="none"/>
          <w:u w:val="single"/>
          <w:lang w:val="en-US" w:eastAsia="zh-CN"/>
        </w:rPr>
        <w:t>3</w:t>
      </w:r>
      <w:r>
        <w:rPr>
          <w:rFonts w:hint="eastAsia" w:ascii="宋体" w:hAnsi="宋体"/>
          <w:b/>
          <w:bCs/>
          <w:color w:val="auto"/>
          <w:sz w:val="24"/>
          <w:highlight w:val="none"/>
          <w:u w:val="single"/>
        </w:rPr>
        <w:t>年</w:t>
      </w:r>
      <w:r>
        <w:rPr>
          <w:rFonts w:hint="eastAsia" w:ascii="宋体" w:hAnsi="宋体"/>
          <w:b/>
          <w:bCs/>
          <w:color w:val="auto"/>
          <w:sz w:val="24"/>
          <w:highlight w:val="none"/>
          <w:u w:val="single"/>
          <w:lang w:val="en-US" w:eastAsia="zh-CN"/>
        </w:rPr>
        <w:t>3</w:t>
      </w:r>
      <w:r>
        <w:rPr>
          <w:rFonts w:hint="eastAsia" w:ascii="宋体" w:hAnsi="宋体"/>
          <w:b/>
          <w:bCs/>
          <w:color w:val="auto"/>
          <w:sz w:val="24"/>
          <w:highlight w:val="none"/>
          <w:u w:val="single"/>
        </w:rPr>
        <w:t>月</w:t>
      </w:r>
      <w:r>
        <w:rPr>
          <w:rFonts w:hint="eastAsia" w:ascii="宋体" w:hAnsi="宋体"/>
          <w:b/>
          <w:bCs/>
          <w:color w:val="auto"/>
          <w:sz w:val="24"/>
          <w:highlight w:val="none"/>
          <w:u w:val="single"/>
          <w:lang w:val="en-US" w:eastAsia="zh-CN"/>
        </w:rPr>
        <w:t>1</w:t>
      </w:r>
      <w:r>
        <w:rPr>
          <w:rFonts w:hint="eastAsia" w:ascii="宋体" w:hAnsi="宋体"/>
          <w:b/>
          <w:bCs/>
          <w:color w:val="auto"/>
          <w:sz w:val="24"/>
          <w:highlight w:val="none"/>
          <w:u w:val="single"/>
        </w:rPr>
        <w:t>0日</w:t>
      </w:r>
      <w:r>
        <w:rPr>
          <w:rFonts w:hint="eastAsia" w:ascii="宋体" w:hAnsi="宋体"/>
          <w:sz w:val="24"/>
          <w:highlight w:val="none"/>
        </w:rPr>
        <w:t>前完成本次档案整理及数字化服务项目服务工作。</w:t>
      </w:r>
    </w:p>
    <w:p>
      <w:pPr>
        <w:spacing w:line="360" w:lineRule="auto"/>
        <w:ind w:firstLine="480" w:firstLineChars="200"/>
        <w:rPr>
          <w:rFonts w:ascii="宋体" w:hAnsi="宋体"/>
          <w:sz w:val="24"/>
        </w:rPr>
      </w:pPr>
      <w:r>
        <w:rPr>
          <w:rFonts w:hint="eastAsia" w:ascii="宋体" w:hAnsi="宋体"/>
          <w:sz w:val="24"/>
        </w:rPr>
        <w:t>本项目不接受联合投标体。</w:t>
      </w:r>
    </w:p>
    <w:p>
      <w:pPr>
        <w:spacing w:line="360" w:lineRule="auto"/>
        <w:ind w:firstLine="482" w:firstLineChars="200"/>
        <w:rPr>
          <w:rFonts w:ascii="宋体" w:hAnsi="宋体"/>
          <w:b/>
          <w:sz w:val="24"/>
        </w:rPr>
      </w:pPr>
      <w:r>
        <w:rPr>
          <w:rFonts w:hint="eastAsia" w:ascii="宋体" w:hAnsi="宋体"/>
          <w:b/>
          <w:sz w:val="24"/>
        </w:rPr>
        <w:t xml:space="preserve">二、申请人的资格要求 </w:t>
      </w:r>
    </w:p>
    <w:p>
      <w:pPr>
        <w:spacing w:line="360" w:lineRule="auto"/>
        <w:ind w:firstLine="480" w:firstLineChars="200"/>
        <w:rPr>
          <w:rFonts w:ascii="宋体" w:hAnsi="宋体" w:cs="Courier New"/>
          <w:sz w:val="24"/>
        </w:rPr>
      </w:pPr>
      <w:r>
        <w:rPr>
          <w:rFonts w:hint="eastAsia" w:ascii="宋体" w:hAnsi="宋体" w:cs="Courier New"/>
          <w:sz w:val="24"/>
        </w:rPr>
        <w:t xml:space="preserve">1.满足《中华人民共和国政府采购法》第二十二条规定； </w:t>
      </w:r>
    </w:p>
    <w:p>
      <w:pPr>
        <w:spacing w:line="360" w:lineRule="auto"/>
        <w:ind w:firstLine="480" w:firstLineChars="200"/>
        <w:rPr>
          <w:rFonts w:ascii="宋体" w:hAnsi="宋体" w:cs="Courier New"/>
          <w:sz w:val="24"/>
        </w:rPr>
      </w:pPr>
      <w:r>
        <w:rPr>
          <w:rFonts w:hint="eastAsia" w:ascii="宋体" w:hAnsi="宋体" w:cs="Courier New"/>
          <w:sz w:val="24"/>
        </w:rPr>
        <w:t>(1)具有独立承担民事责任的能力；</w:t>
      </w:r>
    </w:p>
    <w:p>
      <w:pPr>
        <w:spacing w:line="360" w:lineRule="auto"/>
        <w:ind w:firstLine="480" w:firstLineChars="200"/>
        <w:rPr>
          <w:rFonts w:ascii="宋体" w:hAnsi="宋体" w:cs="Courier New"/>
          <w:sz w:val="24"/>
        </w:rPr>
      </w:pPr>
      <w:r>
        <w:rPr>
          <w:rFonts w:hint="eastAsia" w:ascii="宋体" w:hAnsi="宋体" w:cs="Courier New"/>
          <w:sz w:val="24"/>
        </w:rPr>
        <w:t>(2)具有良好的商业信誉和健全的财务会计制度；</w:t>
      </w:r>
    </w:p>
    <w:p>
      <w:pPr>
        <w:spacing w:line="360" w:lineRule="auto"/>
        <w:ind w:firstLine="480" w:firstLineChars="200"/>
        <w:rPr>
          <w:rFonts w:ascii="宋体" w:hAnsi="宋体" w:cs="Courier New"/>
          <w:sz w:val="24"/>
        </w:rPr>
      </w:pPr>
      <w:r>
        <w:rPr>
          <w:rFonts w:hint="eastAsia" w:ascii="宋体" w:hAnsi="宋体" w:cs="Courier New"/>
          <w:sz w:val="24"/>
        </w:rPr>
        <w:t>(3)具有履行合同所必需的设备和专业技术能力；</w:t>
      </w:r>
    </w:p>
    <w:p>
      <w:pPr>
        <w:spacing w:line="360" w:lineRule="auto"/>
        <w:ind w:firstLine="480" w:firstLineChars="200"/>
        <w:rPr>
          <w:rFonts w:ascii="宋体" w:hAnsi="宋体" w:cs="Courier New"/>
          <w:sz w:val="24"/>
        </w:rPr>
      </w:pPr>
      <w:r>
        <w:rPr>
          <w:rFonts w:hint="eastAsia" w:ascii="宋体" w:hAnsi="宋体" w:cs="Courier New"/>
          <w:sz w:val="24"/>
        </w:rPr>
        <w:t>(4)有依法缴纳税收和社会保障资金的良好记录；</w:t>
      </w:r>
    </w:p>
    <w:p>
      <w:pPr>
        <w:spacing w:line="360" w:lineRule="auto"/>
        <w:ind w:firstLine="480" w:firstLineChars="200"/>
        <w:rPr>
          <w:rFonts w:ascii="宋体" w:hAnsi="宋体" w:cs="Courier New"/>
          <w:sz w:val="24"/>
        </w:rPr>
      </w:pPr>
      <w:r>
        <w:rPr>
          <w:rFonts w:hint="eastAsia" w:ascii="宋体" w:hAnsi="宋体" w:cs="Courier New"/>
          <w:sz w:val="24"/>
        </w:rPr>
        <w:t>(5)参加政府采购活动前三年内，在经营活动中没有出现重大违法记录；</w:t>
      </w:r>
    </w:p>
    <w:p>
      <w:pPr>
        <w:spacing w:line="360" w:lineRule="auto"/>
        <w:ind w:firstLine="480" w:firstLineChars="200"/>
        <w:rPr>
          <w:rFonts w:ascii="宋体" w:hAnsi="宋体" w:cs="Courier New"/>
          <w:sz w:val="24"/>
        </w:rPr>
      </w:pPr>
      <w:r>
        <w:rPr>
          <w:rFonts w:hint="eastAsia" w:ascii="宋体" w:hAnsi="宋体" w:cs="Courier New"/>
          <w:sz w:val="24"/>
        </w:rPr>
        <w:t>(6)法律、行政法规规定的其他条件。</w:t>
      </w:r>
    </w:p>
    <w:p>
      <w:pPr>
        <w:spacing w:line="360" w:lineRule="auto"/>
        <w:ind w:firstLine="480" w:firstLineChars="200"/>
        <w:rPr>
          <w:rFonts w:ascii="宋体" w:hAnsi="宋体" w:cs="Courier New"/>
          <w:sz w:val="24"/>
        </w:rPr>
      </w:pPr>
      <w:r>
        <w:rPr>
          <w:rFonts w:hint="eastAsia" w:ascii="宋体" w:hAnsi="宋体" w:cs="Courier New"/>
          <w:sz w:val="24"/>
        </w:rPr>
        <w:t>2.落实政府采购政策需满足的资格要求：</w:t>
      </w:r>
    </w:p>
    <w:p>
      <w:pPr>
        <w:spacing w:line="360" w:lineRule="auto"/>
        <w:ind w:firstLine="480" w:firstLineChars="200"/>
        <w:rPr>
          <w:rFonts w:ascii="宋体" w:hAnsi="宋体" w:cs="Courier New"/>
          <w:sz w:val="24"/>
        </w:rPr>
      </w:pPr>
      <w:r>
        <w:rPr>
          <w:rFonts w:hint="eastAsia" w:ascii="宋体" w:hAnsi="宋体" w:cs="Courier New"/>
          <w:sz w:val="24"/>
        </w:rPr>
        <w:t>政府采购促进中小企业发展；政府采购支持监狱企业发展。</w:t>
      </w:r>
    </w:p>
    <w:p>
      <w:pPr>
        <w:spacing w:line="360" w:lineRule="auto"/>
        <w:ind w:firstLine="480" w:firstLineChars="200"/>
        <w:rPr>
          <w:rFonts w:ascii="宋体" w:hAnsi="宋体" w:cs="Courier New"/>
          <w:sz w:val="24"/>
        </w:rPr>
      </w:pPr>
      <w:r>
        <w:rPr>
          <w:rFonts w:hint="eastAsia" w:ascii="宋体" w:hAnsi="宋体" w:cs="Courier New"/>
          <w:sz w:val="24"/>
        </w:rPr>
        <w:t>3.本项目的特定资格要求：</w:t>
      </w:r>
    </w:p>
    <w:p>
      <w:pPr>
        <w:spacing w:line="360" w:lineRule="auto"/>
        <w:ind w:firstLine="480" w:firstLineChars="200"/>
        <w:rPr>
          <w:rFonts w:ascii="宋体" w:hAnsi="宋体" w:cs="Courier New"/>
          <w:color w:val="FF0000"/>
          <w:sz w:val="24"/>
        </w:rPr>
      </w:pPr>
      <w:r>
        <w:rPr>
          <w:rFonts w:hint="eastAsia" w:ascii="宋体" w:hAnsi="宋体" w:cs="Courier New"/>
          <w:sz w:val="24"/>
        </w:rPr>
        <w:t>本次采购活动不接受联合体投标。</w:t>
      </w:r>
    </w:p>
    <w:p>
      <w:pPr>
        <w:adjustRightInd w:val="0"/>
        <w:snapToGrid w:val="0"/>
        <w:spacing w:line="360" w:lineRule="auto"/>
        <w:ind w:firstLine="482" w:firstLineChars="200"/>
        <w:rPr>
          <w:rFonts w:ascii="宋体" w:hAnsi="宋体"/>
          <w:b/>
          <w:sz w:val="24"/>
        </w:rPr>
      </w:pPr>
      <w:r>
        <w:rPr>
          <w:rFonts w:hint="eastAsia" w:ascii="宋体" w:hAnsi="宋体"/>
          <w:b/>
          <w:sz w:val="24"/>
        </w:rPr>
        <w:t>三、获取采购文件</w:t>
      </w:r>
    </w:p>
    <w:p>
      <w:pPr>
        <w:adjustRightInd w:val="0"/>
        <w:snapToGrid w:val="0"/>
        <w:spacing w:line="360" w:lineRule="auto"/>
        <w:ind w:firstLine="480" w:firstLineChars="200"/>
        <w:rPr>
          <w:rFonts w:hint="eastAsia" w:ascii="宋体" w:hAnsi="宋体" w:eastAsia="宋体" w:cs="Courier New"/>
          <w:sz w:val="24"/>
          <w:highlight w:val="none"/>
          <w:lang w:eastAsia="zh-CN"/>
        </w:rPr>
      </w:pPr>
      <w:r>
        <w:rPr>
          <w:rFonts w:hint="eastAsia" w:ascii="宋体" w:hAnsi="宋体" w:cs="Courier New"/>
          <w:sz w:val="24"/>
          <w:highlight w:val="none"/>
        </w:rPr>
        <w:t>1.时间：202</w:t>
      </w:r>
      <w:r>
        <w:rPr>
          <w:rFonts w:hint="eastAsia" w:ascii="宋体" w:hAnsi="宋体" w:cs="Courier New"/>
          <w:sz w:val="24"/>
          <w:highlight w:val="none"/>
          <w:lang w:val="en-US" w:eastAsia="zh-CN"/>
        </w:rPr>
        <w:t>2</w:t>
      </w:r>
      <w:r>
        <w:rPr>
          <w:rFonts w:hint="eastAsia" w:ascii="宋体" w:hAnsi="宋体" w:cs="Courier New"/>
          <w:sz w:val="24"/>
          <w:highlight w:val="none"/>
        </w:rPr>
        <w:t>年</w:t>
      </w:r>
      <w:r>
        <w:rPr>
          <w:rFonts w:hint="eastAsia" w:ascii="宋体" w:hAnsi="宋体" w:cs="Courier New"/>
          <w:sz w:val="24"/>
          <w:highlight w:val="none"/>
          <w:lang w:val="en-US" w:eastAsia="zh-CN"/>
        </w:rPr>
        <w:t xml:space="preserve"> 11 </w:t>
      </w:r>
      <w:r>
        <w:rPr>
          <w:rFonts w:hint="eastAsia" w:ascii="宋体" w:hAnsi="宋体" w:cs="Courier New"/>
          <w:sz w:val="24"/>
          <w:highlight w:val="none"/>
        </w:rPr>
        <w:t>月</w:t>
      </w:r>
      <w:r>
        <w:rPr>
          <w:rFonts w:hint="eastAsia" w:ascii="宋体" w:hAnsi="宋体" w:cs="Courier New"/>
          <w:sz w:val="24"/>
          <w:highlight w:val="none"/>
          <w:lang w:val="en-US" w:eastAsia="zh-CN"/>
        </w:rPr>
        <w:t xml:space="preserve"> 18 </w:t>
      </w:r>
      <w:r>
        <w:rPr>
          <w:rFonts w:hint="eastAsia" w:ascii="宋体" w:hAnsi="宋体" w:cs="Courier New"/>
          <w:sz w:val="24"/>
          <w:highlight w:val="none"/>
        </w:rPr>
        <w:t>日00:00至202</w:t>
      </w:r>
      <w:r>
        <w:rPr>
          <w:rFonts w:hint="eastAsia" w:ascii="宋体" w:hAnsi="宋体" w:cs="Courier New"/>
          <w:sz w:val="24"/>
          <w:highlight w:val="none"/>
          <w:lang w:val="en-US" w:eastAsia="zh-CN"/>
        </w:rPr>
        <w:t>2</w:t>
      </w:r>
      <w:r>
        <w:rPr>
          <w:rFonts w:hint="eastAsia" w:ascii="宋体" w:hAnsi="宋体" w:cs="Courier New"/>
          <w:sz w:val="24"/>
          <w:highlight w:val="none"/>
        </w:rPr>
        <w:t>年</w:t>
      </w:r>
      <w:r>
        <w:rPr>
          <w:rFonts w:hint="eastAsia" w:ascii="宋体" w:hAnsi="宋体" w:cs="Courier New"/>
          <w:sz w:val="24"/>
          <w:highlight w:val="none"/>
          <w:lang w:val="en-US" w:eastAsia="zh-CN"/>
        </w:rPr>
        <w:t xml:space="preserve">12 </w:t>
      </w:r>
      <w:r>
        <w:rPr>
          <w:rFonts w:hint="eastAsia" w:ascii="宋体" w:hAnsi="宋体" w:cs="Courier New"/>
          <w:sz w:val="24"/>
          <w:highlight w:val="none"/>
        </w:rPr>
        <w:t>月</w:t>
      </w:r>
      <w:r>
        <w:rPr>
          <w:rFonts w:hint="eastAsia" w:ascii="宋体" w:hAnsi="宋体" w:cs="Courier New"/>
          <w:sz w:val="24"/>
          <w:highlight w:val="none"/>
          <w:lang w:val="en-US" w:eastAsia="zh-CN"/>
        </w:rPr>
        <w:t xml:space="preserve"> 5</w:t>
      </w:r>
      <w:r>
        <w:rPr>
          <w:rFonts w:hint="eastAsia" w:ascii="宋体" w:hAnsi="宋体" w:cs="Courier New"/>
          <w:sz w:val="24"/>
          <w:highlight w:val="none"/>
        </w:rPr>
        <w:t>日</w:t>
      </w:r>
      <w:r>
        <w:rPr>
          <w:rFonts w:hint="eastAsia" w:ascii="宋体" w:hAnsi="宋体" w:cs="Courier New"/>
          <w:sz w:val="24"/>
          <w:highlight w:val="none"/>
          <w:lang w:eastAsia="zh-CN"/>
        </w:rPr>
        <w:t>，2022年</w:t>
      </w:r>
      <w:r>
        <w:rPr>
          <w:rFonts w:hint="eastAsia" w:ascii="宋体" w:hAnsi="宋体" w:cs="Courier New"/>
          <w:sz w:val="24"/>
          <w:highlight w:val="none"/>
          <w:lang w:val="en-US" w:eastAsia="zh-CN"/>
        </w:rPr>
        <w:t>12</w:t>
      </w:r>
      <w:r>
        <w:rPr>
          <w:rFonts w:hint="eastAsia" w:ascii="宋体" w:hAnsi="宋体" w:cs="Courier New"/>
          <w:sz w:val="24"/>
          <w:highlight w:val="none"/>
          <w:lang w:eastAsia="zh-CN"/>
        </w:rPr>
        <w:t>月</w:t>
      </w:r>
      <w:r>
        <w:rPr>
          <w:rFonts w:hint="eastAsia" w:ascii="宋体" w:hAnsi="宋体" w:cs="Courier New"/>
          <w:sz w:val="24"/>
          <w:highlight w:val="none"/>
          <w:lang w:val="en-US" w:eastAsia="zh-CN"/>
        </w:rPr>
        <w:t>5</w:t>
      </w:r>
      <w:r>
        <w:rPr>
          <w:rFonts w:hint="eastAsia" w:ascii="宋体" w:hAnsi="宋体" w:cs="Courier New"/>
          <w:sz w:val="24"/>
          <w:highlight w:val="none"/>
          <w:lang w:eastAsia="zh-CN"/>
        </w:rPr>
        <w:t>日后仍可以下载竞争性磋商文件，2022年</w:t>
      </w:r>
      <w:r>
        <w:rPr>
          <w:rFonts w:hint="eastAsia" w:ascii="宋体" w:hAnsi="宋体" w:cs="Courier New"/>
          <w:sz w:val="24"/>
          <w:highlight w:val="none"/>
          <w:lang w:val="en-US" w:eastAsia="zh-CN"/>
        </w:rPr>
        <w:t>12</w:t>
      </w:r>
      <w:r>
        <w:rPr>
          <w:rFonts w:hint="eastAsia" w:ascii="宋体" w:hAnsi="宋体" w:cs="Courier New"/>
          <w:sz w:val="24"/>
          <w:highlight w:val="none"/>
          <w:lang w:eastAsia="zh-CN"/>
        </w:rPr>
        <w:t>月</w:t>
      </w:r>
      <w:r>
        <w:rPr>
          <w:rFonts w:hint="eastAsia" w:ascii="宋体" w:hAnsi="宋体" w:cs="Courier New"/>
          <w:sz w:val="24"/>
          <w:highlight w:val="none"/>
          <w:lang w:val="en-US" w:eastAsia="zh-CN"/>
        </w:rPr>
        <w:t>5</w:t>
      </w:r>
      <w:r>
        <w:rPr>
          <w:rFonts w:hint="eastAsia" w:ascii="宋体" w:hAnsi="宋体" w:cs="Courier New"/>
          <w:sz w:val="24"/>
          <w:highlight w:val="none"/>
          <w:lang w:eastAsia="zh-CN"/>
        </w:rPr>
        <w:t>日后下载的竞争性磋商文件，视为非有效方式且不做为供应商权益受到损害的证明材料和依据。</w:t>
      </w:r>
    </w:p>
    <w:p>
      <w:pPr>
        <w:adjustRightInd w:val="0"/>
        <w:snapToGrid w:val="0"/>
        <w:spacing w:line="360" w:lineRule="auto"/>
        <w:ind w:firstLine="480" w:firstLineChars="200"/>
        <w:rPr>
          <w:rFonts w:ascii="宋体" w:hAnsi="宋体" w:cs="Courier New"/>
          <w:sz w:val="24"/>
          <w:highlight w:val="none"/>
        </w:rPr>
      </w:pPr>
      <w:r>
        <w:rPr>
          <w:rFonts w:hint="eastAsia" w:ascii="宋体" w:hAnsi="宋体" w:cs="Courier New"/>
          <w:sz w:val="24"/>
          <w:highlight w:val="none"/>
        </w:rPr>
        <w:t>2.方式：本公告底部自行下载 ，通过其他途径获取本项目《磋商文件》参与投标的按无效响应文件处理。</w:t>
      </w:r>
    </w:p>
    <w:p>
      <w:pPr>
        <w:pStyle w:val="18"/>
        <w:adjustRightInd w:val="0"/>
        <w:snapToGrid w:val="0"/>
        <w:spacing w:line="360" w:lineRule="auto"/>
        <w:ind w:left="0" w:firstLine="480" w:firstLineChars="200"/>
        <w:rPr>
          <w:rFonts w:ascii="宋体" w:hAnsi="宋体" w:cs="Courier New"/>
          <w:smallCaps w:val="0"/>
          <w:sz w:val="24"/>
          <w:szCs w:val="24"/>
          <w:highlight w:val="none"/>
        </w:rPr>
      </w:pPr>
      <w:r>
        <w:rPr>
          <w:rFonts w:hint="eastAsia" w:ascii="宋体" w:hAnsi="宋体" w:cs="Courier New"/>
          <w:smallCaps w:val="0"/>
          <w:sz w:val="24"/>
          <w:szCs w:val="24"/>
          <w:highlight w:val="none"/>
        </w:rPr>
        <w:t>3.售价</w:t>
      </w:r>
      <w:r>
        <w:rPr>
          <w:rFonts w:ascii="宋体" w:hAnsi="宋体" w:cs="Courier New"/>
          <w:smallCaps w:val="0"/>
          <w:sz w:val="24"/>
          <w:szCs w:val="24"/>
          <w:highlight w:val="none"/>
        </w:rPr>
        <w:t>：</w:t>
      </w:r>
      <w:r>
        <w:rPr>
          <w:rFonts w:hint="eastAsia" w:ascii="宋体" w:hAnsi="宋体" w:cs="Courier New"/>
          <w:smallCaps w:val="0"/>
          <w:sz w:val="24"/>
          <w:szCs w:val="24"/>
          <w:highlight w:val="none"/>
        </w:rPr>
        <w:t>零元。</w:t>
      </w:r>
    </w:p>
    <w:p>
      <w:pPr>
        <w:adjustRightInd w:val="0"/>
        <w:snapToGrid w:val="0"/>
        <w:spacing w:line="360" w:lineRule="auto"/>
        <w:ind w:firstLine="361" w:firstLineChars="150"/>
        <w:rPr>
          <w:rFonts w:ascii="宋体" w:hAnsi="宋体" w:cs="Courier New"/>
          <w:b/>
          <w:sz w:val="24"/>
          <w:highlight w:val="none"/>
        </w:rPr>
      </w:pPr>
      <w:r>
        <w:rPr>
          <w:rFonts w:hint="eastAsia" w:ascii="宋体" w:hAnsi="宋体" w:cs="Courier New"/>
          <w:b/>
          <w:sz w:val="24"/>
          <w:highlight w:val="none"/>
        </w:rPr>
        <w:t>四、响应文件提交</w:t>
      </w:r>
    </w:p>
    <w:p>
      <w:pPr>
        <w:spacing w:line="360" w:lineRule="auto"/>
        <w:ind w:firstLine="480" w:firstLineChars="200"/>
        <w:rPr>
          <w:rFonts w:hint="eastAsia" w:ascii="宋体" w:hAnsi="宋体" w:eastAsia="宋体" w:cs="Courier New"/>
          <w:sz w:val="24"/>
          <w:highlight w:val="none"/>
          <w:lang w:eastAsia="zh-CN"/>
        </w:rPr>
      </w:pPr>
      <w:r>
        <w:rPr>
          <w:rFonts w:hint="eastAsia" w:ascii="宋体" w:hAnsi="宋体" w:cs="Courier New"/>
          <w:sz w:val="24"/>
          <w:highlight w:val="none"/>
        </w:rPr>
        <w:t>截止时间：202</w:t>
      </w:r>
      <w:r>
        <w:rPr>
          <w:rFonts w:hint="eastAsia" w:ascii="宋体" w:hAnsi="宋体" w:cs="Courier New"/>
          <w:sz w:val="24"/>
          <w:highlight w:val="none"/>
          <w:lang w:val="en-US" w:eastAsia="zh-CN"/>
        </w:rPr>
        <w:t>2</w:t>
      </w:r>
      <w:r>
        <w:rPr>
          <w:rFonts w:hint="eastAsia" w:ascii="宋体" w:hAnsi="宋体" w:cs="Courier New"/>
          <w:sz w:val="24"/>
          <w:highlight w:val="none"/>
        </w:rPr>
        <w:t>年</w:t>
      </w:r>
      <w:r>
        <w:rPr>
          <w:rFonts w:hint="eastAsia" w:ascii="宋体" w:hAnsi="宋体" w:cs="Courier New"/>
          <w:sz w:val="24"/>
          <w:highlight w:val="none"/>
          <w:lang w:val="en-US" w:eastAsia="zh-CN"/>
        </w:rPr>
        <w:t xml:space="preserve"> 12 </w:t>
      </w:r>
      <w:r>
        <w:rPr>
          <w:rFonts w:hint="eastAsia" w:ascii="宋体" w:hAnsi="宋体" w:cs="Courier New"/>
          <w:sz w:val="24"/>
          <w:highlight w:val="none"/>
        </w:rPr>
        <w:t>月</w:t>
      </w:r>
      <w:r>
        <w:rPr>
          <w:rFonts w:hint="eastAsia" w:ascii="宋体" w:hAnsi="宋体" w:cs="Courier New"/>
          <w:sz w:val="24"/>
          <w:highlight w:val="none"/>
          <w:lang w:val="en-US" w:eastAsia="zh-CN"/>
        </w:rPr>
        <w:t xml:space="preserve"> 9 </w:t>
      </w:r>
      <w:r>
        <w:rPr>
          <w:rFonts w:hint="eastAsia" w:ascii="宋体" w:hAnsi="宋体" w:cs="Courier New"/>
          <w:sz w:val="24"/>
          <w:highlight w:val="none"/>
        </w:rPr>
        <w:t xml:space="preserve">日 </w:t>
      </w:r>
      <w:r>
        <w:rPr>
          <w:rFonts w:hint="eastAsia" w:ascii="宋体" w:hAnsi="宋体" w:cs="Courier New"/>
          <w:sz w:val="24"/>
          <w:highlight w:val="none"/>
          <w:lang w:val="en-US" w:eastAsia="zh-CN"/>
        </w:rPr>
        <w:t xml:space="preserve"> 9点30</w:t>
      </w:r>
      <w:r>
        <w:rPr>
          <w:rFonts w:hint="eastAsia" w:ascii="宋体" w:hAnsi="宋体" w:cs="Courier New"/>
          <w:sz w:val="24"/>
          <w:highlight w:val="none"/>
        </w:rPr>
        <w:t>分</w:t>
      </w:r>
      <w:r>
        <w:rPr>
          <w:rFonts w:hint="eastAsia" w:ascii="宋体" w:hAnsi="宋体" w:cs="Courier New"/>
          <w:sz w:val="24"/>
          <w:highlight w:val="none"/>
          <w:lang w:eastAsia="zh-CN"/>
        </w:rPr>
        <w:t>（北京时间）</w:t>
      </w:r>
    </w:p>
    <w:p>
      <w:pPr>
        <w:adjustRightInd w:val="0"/>
        <w:snapToGrid w:val="0"/>
        <w:spacing w:line="360" w:lineRule="auto"/>
        <w:ind w:firstLine="480" w:firstLineChars="200"/>
        <w:rPr>
          <w:rFonts w:ascii="宋体" w:hAnsi="宋体" w:cs="Courier New"/>
          <w:sz w:val="24"/>
          <w:highlight w:val="none"/>
        </w:rPr>
      </w:pPr>
      <w:r>
        <w:rPr>
          <w:rFonts w:hint="eastAsia" w:ascii="宋体" w:hAnsi="宋体" w:cs="Courier New"/>
          <w:sz w:val="24"/>
          <w:highlight w:val="none"/>
        </w:rPr>
        <w:t>地点：新沂市公共资源交易中心 第</w:t>
      </w:r>
      <w:r>
        <w:rPr>
          <w:rFonts w:hint="eastAsia" w:ascii="宋体" w:hAnsi="宋体" w:cs="Courier New"/>
          <w:sz w:val="24"/>
          <w:highlight w:val="none"/>
          <w:u w:val="single"/>
        </w:rPr>
        <w:t xml:space="preserve"> </w:t>
      </w:r>
      <w:r>
        <w:rPr>
          <w:rFonts w:hint="eastAsia" w:ascii="宋体" w:hAnsi="宋体" w:cs="Courier New"/>
          <w:sz w:val="24"/>
          <w:highlight w:val="none"/>
          <w:u w:val="single"/>
          <w:lang w:eastAsia="zh-CN"/>
        </w:rPr>
        <w:t>五</w:t>
      </w:r>
      <w:r>
        <w:rPr>
          <w:rFonts w:hint="eastAsia" w:ascii="宋体" w:hAnsi="宋体" w:cs="Courier New"/>
          <w:sz w:val="24"/>
          <w:highlight w:val="none"/>
          <w:u w:val="single"/>
          <w:lang w:val="en-US" w:eastAsia="zh-CN"/>
        </w:rPr>
        <w:t xml:space="preserve"> </w:t>
      </w:r>
      <w:r>
        <w:rPr>
          <w:rFonts w:hint="eastAsia" w:ascii="宋体" w:hAnsi="宋体" w:cs="Courier New"/>
          <w:sz w:val="24"/>
          <w:highlight w:val="none"/>
          <w:u w:val="single"/>
        </w:rPr>
        <w:t xml:space="preserve"> </w:t>
      </w:r>
      <w:r>
        <w:rPr>
          <w:rFonts w:hint="eastAsia" w:ascii="宋体" w:hAnsi="宋体" w:cs="Courier New"/>
          <w:sz w:val="24"/>
          <w:highlight w:val="none"/>
        </w:rPr>
        <w:t>开标室。</w:t>
      </w:r>
    </w:p>
    <w:p>
      <w:pPr>
        <w:spacing w:line="360" w:lineRule="auto"/>
        <w:ind w:firstLine="361" w:firstLineChars="150"/>
        <w:rPr>
          <w:rFonts w:ascii="宋体" w:hAnsi="宋体" w:cs="Courier New"/>
          <w:b/>
          <w:sz w:val="24"/>
          <w:highlight w:val="none"/>
        </w:rPr>
      </w:pPr>
      <w:r>
        <w:rPr>
          <w:rFonts w:hint="eastAsia" w:ascii="宋体" w:hAnsi="宋体" w:cs="Courier New"/>
          <w:b/>
          <w:sz w:val="24"/>
          <w:highlight w:val="none"/>
        </w:rPr>
        <w:t>五、开启</w:t>
      </w:r>
    </w:p>
    <w:p>
      <w:pPr>
        <w:spacing w:line="360" w:lineRule="auto"/>
        <w:ind w:firstLine="480" w:firstLineChars="200"/>
        <w:rPr>
          <w:rFonts w:hint="eastAsia" w:ascii="宋体" w:hAnsi="宋体" w:eastAsia="宋体" w:cs="Courier New"/>
          <w:sz w:val="24"/>
          <w:highlight w:val="none"/>
          <w:lang w:eastAsia="zh-CN"/>
        </w:rPr>
      </w:pPr>
      <w:r>
        <w:rPr>
          <w:rFonts w:hint="eastAsia" w:ascii="宋体" w:hAnsi="宋体" w:cs="Courier New"/>
          <w:sz w:val="24"/>
          <w:highlight w:val="none"/>
        </w:rPr>
        <w:t>时间：202</w:t>
      </w:r>
      <w:r>
        <w:rPr>
          <w:rFonts w:hint="eastAsia" w:ascii="宋体" w:hAnsi="宋体" w:cs="Courier New"/>
          <w:sz w:val="24"/>
          <w:highlight w:val="none"/>
          <w:lang w:val="en-US" w:eastAsia="zh-CN"/>
        </w:rPr>
        <w:t>2</w:t>
      </w:r>
      <w:r>
        <w:rPr>
          <w:rFonts w:hint="eastAsia" w:ascii="宋体" w:hAnsi="宋体" w:cs="Courier New"/>
          <w:sz w:val="24"/>
          <w:highlight w:val="none"/>
        </w:rPr>
        <w:t>年</w:t>
      </w:r>
      <w:r>
        <w:rPr>
          <w:rFonts w:hint="eastAsia" w:ascii="宋体" w:hAnsi="宋体" w:cs="Courier New"/>
          <w:sz w:val="24"/>
          <w:highlight w:val="none"/>
          <w:lang w:val="en-US" w:eastAsia="zh-CN"/>
        </w:rPr>
        <w:t xml:space="preserve"> 12 </w:t>
      </w:r>
      <w:r>
        <w:rPr>
          <w:rFonts w:hint="eastAsia" w:ascii="宋体" w:hAnsi="宋体" w:cs="Courier New"/>
          <w:sz w:val="24"/>
          <w:highlight w:val="none"/>
        </w:rPr>
        <w:t>月</w:t>
      </w:r>
      <w:r>
        <w:rPr>
          <w:rFonts w:hint="eastAsia" w:ascii="宋体" w:hAnsi="宋体" w:cs="Courier New"/>
          <w:sz w:val="24"/>
          <w:highlight w:val="none"/>
          <w:lang w:val="en-US" w:eastAsia="zh-CN"/>
        </w:rPr>
        <w:t xml:space="preserve"> 9 </w:t>
      </w:r>
      <w:r>
        <w:rPr>
          <w:rFonts w:hint="eastAsia" w:ascii="宋体" w:hAnsi="宋体" w:cs="Courier New"/>
          <w:sz w:val="24"/>
          <w:highlight w:val="none"/>
        </w:rPr>
        <w:t xml:space="preserve">日 </w:t>
      </w:r>
      <w:r>
        <w:rPr>
          <w:rFonts w:hint="eastAsia" w:ascii="宋体" w:hAnsi="宋体" w:cs="Courier New"/>
          <w:sz w:val="24"/>
          <w:highlight w:val="none"/>
          <w:lang w:val="en-US" w:eastAsia="zh-CN"/>
        </w:rPr>
        <w:t>9点30</w:t>
      </w:r>
      <w:r>
        <w:rPr>
          <w:rFonts w:hint="eastAsia" w:ascii="宋体" w:hAnsi="宋体" w:cs="Courier New"/>
          <w:sz w:val="24"/>
          <w:highlight w:val="none"/>
        </w:rPr>
        <w:t>分</w:t>
      </w:r>
      <w:r>
        <w:rPr>
          <w:rFonts w:hint="eastAsia" w:ascii="宋体" w:hAnsi="宋体" w:cs="Courier New"/>
          <w:sz w:val="24"/>
          <w:highlight w:val="none"/>
          <w:lang w:eastAsia="zh-CN"/>
        </w:rPr>
        <w:t>（北京时间）</w:t>
      </w:r>
    </w:p>
    <w:p>
      <w:pPr>
        <w:spacing w:line="360" w:lineRule="auto"/>
        <w:ind w:firstLine="480" w:firstLineChars="200"/>
        <w:rPr>
          <w:rFonts w:hint="eastAsia" w:ascii="宋体" w:hAnsi="宋体" w:cs="Courier New"/>
          <w:sz w:val="24"/>
          <w:highlight w:val="none"/>
        </w:rPr>
      </w:pPr>
      <w:r>
        <w:rPr>
          <w:rFonts w:hint="eastAsia" w:ascii="宋体" w:hAnsi="宋体" w:cs="Courier New"/>
          <w:sz w:val="24"/>
          <w:highlight w:val="none"/>
        </w:rPr>
        <w:t xml:space="preserve">地点：新沂市公共资源交易中心 第 </w:t>
      </w:r>
      <w:r>
        <w:rPr>
          <w:rFonts w:hint="eastAsia" w:ascii="宋体" w:hAnsi="宋体" w:cs="Courier New"/>
          <w:sz w:val="24"/>
          <w:highlight w:val="none"/>
          <w:u w:val="single"/>
          <w:lang w:val="en-US" w:eastAsia="zh-CN"/>
        </w:rPr>
        <w:t xml:space="preserve"> 五  </w:t>
      </w:r>
      <w:r>
        <w:rPr>
          <w:rFonts w:hint="eastAsia" w:ascii="宋体" w:hAnsi="宋体" w:cs="Courier New"/>
          <w:sz w:val="24"/>
          <w:highlight w:val="none"/>
        </w:rPr>
        <w:t>开标室。</w:t>
      </w:r>
    </w:p>
    <w:p>
      <w:pPr>
        <w:spacing w:line="360" w:lineRule="auto"/>
        <w:ind w:firstLine="241" w:firstLineChars="100"/>
        <w:rPr>
          <w:rFonts w:ascii="宋体" w:hAnsi="宋体"/>
          <w:b/>
          <w:sz w:val="24"/>
          <w:highlight w:val="none"/>
        </w:rPr>
      </w:pPr>
      <w:r>
        <w:rPr>
          <w:rFonts w:hint="eastAsia" w:ascii="宋体" w:hAnsi="宋体"/>
          <w:b/>
          <w:sz w:val="24"/>
          <w:highlight w:val="none"/>
        </w:rPr>
        <w:t>六、公告期限</w:t>
      </w:r>
    </w:p>
    <w:p>
      <w:pPr>
        <w:spacing w:line="360" w:lineRule="auto"/>
        <w:ind w:firstLine="480" w:firstLineChars="200"/>
        <w:rPr>
          <w:rFonts w:hint="eastAsia" w:ascii="宋体" w:hAnsi="宋体" w:cs="Courier New"/>
          <w:sz w:val="24"/>
          <w:highlight w:val="none"/>
        </w:rPr>
      </w:pPr>
      <w:r>
        <w:rPr>
          <w:rFonts w:hint="eastAsia" w:ascii="宋体" w:hAnsi="宋体" w:cs="Courier New"/>
          <w:sz w:val="24"/>
          <w:highlight w:val="none"/>
        </w:rPr>
        <w:t>本公告期限为</w:t>
      </w:r>
      <w:r>
        <w:rPr>
          <w:rFonts w:hint="eastAsia" w:ascii="宋体" w:hAnsi="宋体" w:cs="Courier New"/>
          <w:b/>
          <w:bCs/>
          <w:color w:val="auto"/>
          <w:sz w:val="24"/>
          <w:highlight w:val="none"/>
          <w:lang w:val="en-US" w:eastAsia="zh-CN"/>
        </w:rPr>
        <w:t>5</w:t>
      </w:r>
      <w:r>
        <w:rPr>
          <w:rFonts w:hint="eastAsia" w:ascii="宋体" w:hAnsi="宋体" w:cs="Courier New"/>
          <w:sz w:val="24"/>
          <w:highlight w:val="none"/>
        </w:rPr>
        <w:t>个工作日。</w:t>
      </w:r>
    </w:p>
    <w:p>
      <w:pPr>
        <w:spacing w:line="360" w:lineRule="auto"/>
        <w:ind w:firstLine="241" w:firstLineChars="100"/>
        <w:rPr>
          <w:rFonts w:ascii="宋体" w:hAnsi="宋体"/>
          <w:b/>
          <w:sz w:val="24"/>
        </w:rPr>
      </w:pPr>
      <w:r>
        <w:rPr>
          <w:rFonts w:ascii="宋体" w:hAnsi="宋体"/>
          <w:b/>
          <w:sz w:val="24"/>
        </w:rPr>
        <w:t>七</w:t>
      </w:r>
      <w:r>
        <w:rPr>
          <w:rFonts w:hint="eastAsia" w:ascii="宋体" w:hAnsi="宋体"/>
          <w:b/>
          <w:sz w:val="24"/>
        </w:rPr>
        <w:t>、其他补充事宜</w:t>
      </w:r>
    </w:p>
    <w:p>
      <w:pPr>
        <w:spacing w:line="360" w:lineRule="auto"/>
        <w:rPr>
          <w:rFonts w:ascii="宋体" w:hAnsi="宋体"/>
          <w:sz w:val="24"/>
        </w:rPr>
      </w:pPr>
      <w:r>
        <w:rPr>
          <w:rFonts w:ascii="宋体" w:hAnsi="宋体"/>
          <w:sz w:val="24"/>
        </w:rPr>
        <w:tab/>
      </w:r>
      <w:r>
        <w:rPr>
          <w:rFonts w:ascii="宋体" w:hAnsi="宋体"/>
          <w:sz w:val="24"/>
        </w:rPr>
        <w:t>1.</w:t>
      </w:r>
      <w:r>
        <w:rPr>
          <w:rFonts w:hint="eastAsia" w:ascii="宋体" w:hAnsi="宋体"/>
          <w:sz w:val="24"/>
        </w:rPr>
        <w:t>《最终报价表》由供应商提前加盖本公司公章，在开标时候自行带到评标室现场手写最终报价。</w:t>
      </w:r>
    </w:p>
    <w:p>
      <w:pPr>
        <w:spacing w:line="360" w:lineRule="auto"/>
        <w:rPr>
          <w:rFonts w:hint="eastAsia" w:ascii="宋体" w:hAnsi="宋体"/>
          <w:sz w:val="24"/>
        </w:rPr>
      </w:pPr>
      <w:r>
        <w:rPr>
          <w:rFonts w:ascii="宋体" w:hAnsi="宋体"/>
          <w:sz w:val="24"/>
        </w:rPr>
        <w:tab/>
      </w:r>
      <w:r>
        <w:rPr>
          <w:rFonts w:ascii="宋体" w:hAnsi="宋体"/>
          <w:sz w:val="24"/>
        </w:rPr>
        <w:t>2.</w:t>
      </w:r>
      <w:r>
        <w:rPr>
          <w:rFonts w:hint="eastAsia" w:ascii="宋体" w:hAnsi="宋体"/>
          <w:sz w:val="24"/>
        </w:rPr>
        <w:t xml:space="preserve"> 有关本次招标的事项若存在变动或修改，敬请及时关注本项目公告发布网站。</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24"/>
        </w:rPr>
      </w:pPr>
      <w:r>
        <w:rPr>
          <w:rFonts w:hint="eastAsia" w:ascii="宋体" w:hAnsi="宋体"/>
          <w:sz w:val="24"/>
        </w:rPr>
        <w:t>（一）询问和质疑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rPr>
      </w:pPr>
      <w:r>
        <w:rPr>
          <w:rFonts w:hint="eastAsia" w:ascii="宋体" w:hAnsi="宋体"/>
          <w:sz w:val="24"/>
        </w:rPr>
        <w:t>1.根据采购代理机构与采购人签订的本采购项目的《委托代理协议》，投标人对政府采购活动事项有疑问的，可以向采购人或采购代理机构提出询问；投标人认为采购文件、采购过程、中标或成交结果使自己的权益受到损害的，可以在知道或者应知其权益受到损害之日起七个工作日内，以书面形式向采购人或采购代理机构提出质疑，由采购人或采购代理机构依法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rPr>
      </w:pPr>
      <w:r>
        <w:rPr>
          <w:rFonts w:hint="eastAsia" w:ascii="宋体" w:hAnsi="宋体"/>
          <w:sz w:val="24"/>
        </w:rPr>
        <w:t>2.质疑和投诉按《政府采购质疑和投诉办法》执行。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rPr>
      </w:pPr>
      <w:r>
        <w:rPr>
          <w:rFonts w:hint="eastAsia" w:ascii="宋体" w:hAnsi="宋体"/>
          <w:sz w:val="24"/>
        </w:rPr>
        <w:t>投标人在法定质疑期内一次性提出针对同一采购程序环节的质疑。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rPr>
      </w:pPr>
      <w:r>
        <w:rPr>
          <w:rFonts w:hint="eastAsia" w:ascii="宋体" w:hAnsi="宋体"/>
          <w:sz w:val="24"/>
        </w:rPr>
        <w:t>质疑接收人：</w:t>
      </w:r>
      <w:r>
        <w:rPr>
          <w:rFonts w:hint="eastAsia" w:ascii="宋体" w:hAnsi="宋体"/>
          <w:sz w:val="24"/>
          <w:lang w:eastAsia="zh-CN"/>
        </w:rPr>
        <w:t>苏雪姣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sz w:val="24"/>
          <w:lang w:val="en-US" w:eastAsia="zh-CN"/>
        </w:rPr>
      </w:pPr>
      <w:r>
        <w:rPr>
          <w:rFonts w:hint="eastAsia" w:ascii="宋体" w:hAnsi="宋体"/>
          <w:sz w:val="24"/>
        </w:rPr>
        <w:t>联系电话：</w:t>
      </w:r>
      <w:r>
        <w:rPr>
          <w:rFonts w:hint="eastAsia" w:ascii="宋体" w:hAnsi="宋体"/>
          <w:sz w:val="24"/>
          <w:lang w:val="en-US" w:eastAsia="zh-CN"/>
        </w:rPr>
        <w:t>0516-88610655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rPr>
      </w:pPr>
      <w:r>
        <w:rPr>
          <w:rFonts w:hint="eastAsia" w:ascii="宋体" w:hAnsi="宋体"/>
          <w:sz w:val="24"/>
        </w:rPr>
        <w:t>地址：新沂市钟吾南路17号城投大厦4楼</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（二）招标文件的澄清或者修改</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采购代理机构可以对已发出的招标文件进行必要的澄清或者修改。澄清或者修改的内容以所发布的本项目的“更正（澄清）公告”及其附件的形式通知所有获取招标文件的潜在投标人。发布本项目的“更正（澄清）公告”及其附件后采购代理机构已尽通知义务。敬请各潜在投标人关注本项目的“更正（澄清）公告”及其附件，否则，将自行承担相应的风险。</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（三）终止招标</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终止招标的，采购代理机构应当及时在原公告发布媒体上发布终止公告，以“终止公告”的形式通知已经获取招标文件的潜在投标人，发布本项目的“终止公告”后采购代理机构已尽通知义务。敬请各潜在投标人关注本项目的“终止公告”，否则，将自行承担相应的风险。</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（四）说明</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1.本项目不接受联合体参与采购活动，成交后不得转包或分包。</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2.单位负责人为同一人或者存在直接控股、管理关系的不同投标人，不得参加同一合同项下的政府采购活动。</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3.为本采购项目提供整体设计、规范编制或者项目管理、监理、检测等服务的投标人，不得再参加本采购项目的采购活动。</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(五)特别说明</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1.采购人认定本项目的采购活动在疫情防控期间确需开展。</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2.按照《江苏省财政厅关于疫情防控期间开展政府采购活动有关工作的通知》（苏财购〔2020〕13号）的要求，建立登记询问制度。</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pPr>
      <w:r>
        <w:rPr>
          <w:rFonts w:hint="eastAsia" w:ascii="宋体" w:hAnsi="宋体" w:eastAsia="宋体" w:cs="Times New Roman"/>
          <w:kern w:val="2"/>
          <w:sz w:val="24"/>
          <w:szCs w:val="24"/>
          <w:lang w:val="en-US" w:eastAsia="zh-CN" w:bidi="ar-SA"/>
        </w:rPr>
        <w:t>3.请参加政府采购活动的投标人代表做好个人防护，严格执行疫情报告、人员隔离等要求。</w:t>
      </w:r>
    </w:p>
    <w:p>
      <w:pPr>
        <w:spacing w:line="360" w:lineRule="auto"/>
        <w:ind w:firstLine="241" w:firstLineChars="100"/>
        <w:rPr>
          <w:rFonts w:ascii="宋体" w:hAnsi="宋体" w:cs="宋体"/>
          <w:b/>
          <w:kern w:val="0"/>
          <w:sz w:val="24"/>
        </w:rPr>
      </w:pPr>
      <w:r>
        <w:rPr>
          <w:rFonts w:hint="eastAsia" w:ascii="宋体" w:hAnsi="宋体" w:cs="宋体"/>
          <w:b/>
          <w:kern w:val="0"/>
          <w:sz w:val="24"/>
        </w:rPr>
        <w:t>八、凡对本次采购提出询问，请按以下方式联系。</w:t>
      </w:r>
    </w:p>
    <w:p>
      <w:pPr>
        <w:spacing w:line="360" w:lineRule="auto"/>
        <w:ind w:firstLine="480" w:firstLineChars="200"/>
        <w:rPr>
          <w:rFonts w:ascii="宋体" w:hAnsi="宋体"/>
          <w:sz w:val="24"/>
        </w:rPr>
      </w:pPr>
      <w:r>
        <w:rPr>
          <w:rFonts w:hint="eastAsia" w:ascii="宋体" w:hAnsi="宋体"/>
          <w:sz w:val="24"/>
        </w:rPr>
        <w:t>采购人信息</w:t>
      </w:r>
    </w:p>
    <w:p>
      <w:pPr>
        <w:spacing w:line="360" w:lineRule="auto"/>
        <w:ind w:firstLine="480" w:firstLineChars="200"/>
        <w:rPr>
          <w:rFonts w:ascii="宋体" w:hAnsi="宋体"/>
          <w:sz w:val="24"/>
          <w:highlight w:val="none"/>
        </w:rPr>
      </w:pPr>
      <w:r>
        <w:rPr>
          <w:rFonts w:hint="eastAsia" w:ascii="宋体" w:hAnsi="宋体"/>
          <w:sz w:val="24"/>
          <w:highlight w:val="none"/>
        </w:rPr>
        <w:t>名称：新沂市</w:t>
      </w:r>
      <w:r>
        <w:rPr>
          <w:rFonts w:hint="eastAsia" w:ascii="宋体" w:hAnsi="宋体"/>
          <w:sz w:val="24"/>
          <w:highlight w:val="none"/>
          <w:lang w:eastAsia="zh-CN"/>
        </w:rPr>
        <w:t>公共资源交易中心</w:t>
      </w:r>
    </w:p>
    <w:p>
      <w:pPr>
        <w:spacing w:line="360" w:lineRule="auto"/>
        <w:ind w:firstLine="480" w:firstLineChars="200"/>
        <w:rPr>
          <w:rFonts w:ascii="宋体" w:hAnsi="宋体"/>
          <w:sz w:val="24"/>
          <w:highlight w:val="none"/>
        </w:rPr>
      </w:pPr>
      <w:r>
        <w:rPr>
          <w:rFonts w:ascii="宋体" w:hAnsi="宋体"/>
          <w:sz w:val="24"/>
          <w:highlight w:val="none"/>
        </w:rPr>
        <w:t>地址：</w:t>
      </w:r>
      <w:r>
        <w:rPr>
          <w:rFonts w:hint="eastAsia" w:ascii="宋体" w:hAnsi="宋体"/>
          <w:sz w:val="24"/>
          <w:highlight w:val="none"/>
        </w:rPr>
        <w:t>新沂市钟吾南路17号城投大厦4楼</w:t>
      </w:r>
    </w:p>
    <w:p>
      <w:pPr>
        <w:spacing w:line="360" w:lineRule="auto"/>
        <w:ind w:firstLine="480" w:firstLineChars="200"/>
        <w:rPr>
          <w:rFonts w:ascii="宋体" w:hAnsi="宋体"/>
          <w:sz w:val="24"/>
          <w:highlight w:val="none"/>
        </w:rPr>
      </w:pPr>
      <w:r>
        <w:rPr>
          <w:rFonts w:hint="eastAsia" w:ascii="宋体" w:hAnsi="宋体"/>
          <w:sz w:val="24"/>
          <w:highlight w:val="none"/>
        </w:rPr>
        <w:t>联系方式：</w:t>
      </w:r>
      <w:r>
        <w:rPr>
          <w:rFonts w:hint="eastAsia" w:ascii="宋体" w:hAnsi="宋体"/>
          <w:sz w:val="24"/>
          <w:highlight w:val="none"/>
          <w:lang w:eastAsia="zh-CN"/>
        </w:rPr>
        <w:t>苏雪姣</w:t>
      </w:r>
      <w:r>
        <w:rPr>
          <w:rFonts w:hint="eastAsia" w:ascii="宋体" w:hAnsi="宋体"/>
          <w:sz w:val="24"/>
          <w:highlight w:val="none"/>
        </w:rPr>
        <w:t xml:space="preserve"> </w:t>
      </w:r>
      <w:r>
        <w:rPr>
          <w:rFonts w:hint="eastAsia" w:ascii="宋体" w:hAnsi="宋体"/>
          <w:sz w:val="24"/>
          <w:highlight w:val="none"/>
          <w:lang w:val="en-US" w:eastAsia="zh-CN"/>
        </w:rPr>
        <w:t>0516-88610655</w:t>
      </w:r>
    </w:p>
    <w:p>
      <w:pPr>
        <w:spacing w:line="440" w:lineRule="exact"/>
        <w:jc w:val="center"/>
        <w:rPr>
          <w:rFonts w:ascii="宋体" w:hAnsi="宋体"/>
          <w:b/>
          <w:bCs/>
          <w:sz w:val="32"/>
          <w:szCs w:val="32"/>
        </w:rPr>
      </w:pPr>
      <w:r>
        <w:rPr>
          <w:rFonts w:ascii="宋体" w:hAnsi="宋体"/>
          <w:b/>
          <w:sz w:val="32"/>
        </w:rPr>
        <w:t>二、磋商采购文件</w:t>
      </w:r>
    </w:p>
    <w:p>
      <w:pPr>
        <w:widowControl/>
        <w:spacing w:line="400" w:lineRule="exact"/>
        <w:ind w:firstLine="420" w:firstLineChars="200"/>
        <w:jc w:val="left"/>
        <w:rPr>
          <w:rFonts w:ascii="宋体" w:hAnsi="宋体"/>
          <w:kern w:val="0"/>
          <w:szCs w:val="21"/>
        </w:rPr>
      </w:pPr>
      <w:r>
        <w:rPr>
          <w:rFonts w:hint="eastAsia" w:ascii="宋体" w:hAnsi="宋体"/>
          <w:kern w:val="0"/>
          <w:szCs w:val="21"/>
          <w:lang w:eastAsia="zh-CN"/>
        </w:rPr>
        <w:t>新沂市公共资源交易中心</w:t>
      </w:r>
      <w:r>
        <w:rPr>
          <w:rFonts w:ascii="宋体" w:hAnsi="宋体"/>
          <w:kern w:val="0"/>
          <w:szCs w:val="21"/>
        </w:rPr>
        <w:t>，就其所需要采购的</w:t>
      </w:r>
      <w:r>
        <w:rPr>
          <w:rFonts w:hint="eastAsia" w:ascii="宋体" w:hAnsi="宋体"/>
          <w:kern w:val="0"/>
          <w:szCs w:val="21"/>
          <w:lang w:eastAsia="zh-CN"/>
        </w:rPr>
        <w:t>新沂市公共资源交易中心</w:t>
      </w:r>
      <w:r>
        <w:rPr>
          <w:rFonts w:hint="eastAsia" w:ascii="宋体" w:hAnsi="宋体"/>
          <w:kern w:val="0"/>
          <w:szCs w:val="21"/>
          <w:lang w:val="en-US" w:eastAsia="zh-CN"/>
        </w:rPr>
        <w:t>档案</w:t>
      </w:r>
      <w:r>
        <w:rPr>
          <w:rFonts w:hint="eastAsia" w:ascii="宋体" w:hAnsi="宋体"/>
          <w:kern w:val="0"/>
          <w:szCs w:val="21"/>
        </w:rPr>
        <w:t>整理及数字化服务项目</w:t>
      </w:r>
      <w:r>
        <w:rPr>
          <w:rFonts w:ascii="宋体" w:hAnsi="宋体"/>
          <w:kern w:val="0"/>
          <w:szCs w:val="21"/>
        </w:rPr>
        <w:t>在国内组织竞争性磋商采购。欢迎符合采购文件资格条件的供应商前来参加磋商。</w:t>
      </w:r>
    </w:p>
    <w:p>
      <w:pPr>
        <w:tabs>
          <w:tab w:val="left" w:pos="567"/>
        </w:tabs>
        <w:spacing w:line="400" w:lineRule="exact"/>
        <w:rPr>
          <w:rFonts w:ascii="宋体" w:hAnsi="宋体"/>
          <w:bCs/>
          <w:szCs w:val="21"/>
          <w:highlight w:val="none"/>
        </w:rPr>
      </w:pPr>
      <w:r>
        <w:rPr>
          <w:rFonts w:hint="eastAsia" w:ascii="宋体" w:hAnsi="宋体"/>
          <w:b/>
          <w:bCs/>
          <w:szCs w:val="21"/>
        </w:rPr>
        <w:t>一、</w:t>
      </w:r>
      <w:r>
        <w:rPr>
          <w:rFonts w:ascii="宋体" w:hAnsi="宋体"/>
          <w:b/>
          <w:bCs/>
          <w:szCs w:val="21"/>
        </w:rPr>
        <w:t>采购编号：</w:t>
      </w:r>
      <w:r>
        <w:rPr>
          <w:rFonts w:hint="eastAsia" w:ascii="宋体" w:hAnsi="宋体"/>
          <w:color w:val="auto"/>
          <w:sz w:val="24"/>
          <w:highlight w:val="none"/>
        </w:rPr>
        <w:t>新采磋（202</w:t>
      </w: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hint="eastAsia" w:ascii="宋体" w:hAnsi="宋体"/>
          <w:color w:val="auto"/>
          <w:sz w:val="24"/>
          <w:highlight w:val="none"/>
          <w:lang w:val="en-US" w:eastAsia="zh-CN"/>
        </w:rPr>
        <w:t>XYZYJY</w:t>
      </w:r>
      <w:r>
        <w:rPr>
          <w:rFonts w:hint="eastAsia" w:ascii="宋体" w:hAnsi="宋体"/>
          <w:color w:val="auto"/>
          <w:sz w:val="24"/>
          <w:highlight w:val="none"/>
        </w:rPr>
        <w:t xml:space="preserve"> </w:t>
      </w:r>
      <w:r>
        <w:rPr>
          <w:rFonts w:hint="eastAsia" w:ascii="宋体" w:hAnsi="宋体"/>
          <w:color w:val="auto"/>
          <w:sz w:val="24"/>
          <w:highlight w:val="none"/>
          <w:lang w:val="en-US" w:eastAsia="zh-CN"/>
        </w:rPr>
        <w:t>1101</w:t>
      </w:r>
      <w:r>
        <w:rPr>
          <w:rFonts w:hint="eastAsia" w:ascii="宋体" w:hAnsi="宋体"/>
          <w:color w:val="auto"/>
          <w:szCs w:val="21"/>
          <w:highlight w:val="none"/>
        </w:rPr>
        <w:t xml:space="preserve"> </w:t>
      </w:r>
    </w:p>
    <w:p>
      <w:pPr>
        <w:tabs>
          <w:tab w:val="left" w:pos="567"/>
        </w:tabs>
        <w:spacing w:line="400" w:lineRule="exact"/>
        <w:rPr>
          <w:rFonts w:ascii="宋体" w:hAnsi="宋体"/>
          <w:szCs w:val="21"/>
        </w:rPr>
      </w:pPr>
      <w:r>
        <w:rPr>
          <w:rFonts w:hint="eastAsia" w:ascii="宋体" w:hAnsi="宋体"/>
          <w:b/>
          <w:szCs w:val="21"/>
        </w:rPr>
        <w:t>二、项目名称</w:t>
      </w:r>
      <w:r>
        <w:rPr>
          <w:rFonts w:ascii="宋体" w:hAnsi="宋体"/>
          <w:b/>
          <w:szCs w:val="21"/>
        </w:rPr>
        <w:t>：</w:t>
      </w:r>
      <w:r>
        <w:rPr>
          <w:rFonts w:hint="eastAsia" w:ascii="宋体" w:hAnsi="宋体"/>
          <w:color w:val="auto"/>
          <w:szCs w:val="21"/>
          <w:highlight w:val="none"/>
          <w:lang w:eastAsia="zh-CN"/>
        </w:rPr>
        <w:t>新沂市公共资源交易中心档</w:t>
      </w:r>
      <w:r>
        <w:rPr>
          <w:rFonts w:hint="eastAsia" w:ascii="宋体" w:hAnsi="宋体"/>
          <w:color w:val="auto"/>
          <w:szCs w:val="21"/>
          <w:highlight w:val="none"/>
        </w:rPr>
        <w:t>案整理及数字化服务项目</w:t>
      </w:r>
    </w:p>
    <w:p>
      <w:pPr>
        <w:tabs>
          <w:tab w:val="left" w:pos="567"/>
        </w:tabs>
        <w:spacing w:line="400" w:lineRule="exact"/>
        <w:rPr>
          <w:rFonts w:ascii="宋体" w:hAnsi="宋体"/>
          <w:b/>
          <w:bCs/>
          <w:szCs w:val="21"/>
          <w:highlight w:val="none"/>
        </w:rPr>
      </w:pPr>
      <w:r>
        <w:rPr>
          <w:rFonts w:hint="eastAsia" w:ascii="宋体" w:hAnsi="宋体"/>
          <w:b/>
          <w:bCs/>
          <w:szCs w:val="21"/>
          <w:highlight w:val="none"/>
        </w:rPr>
        <w:t>三、采购需求：</w:t>
      </w:r>
    </w:p>
    <w:p>
      <w:pPr>
        <w:tabs>
          <w:tab w:val="left" w:pos="567"/>
          <w:tab w:val="left" w:pos="960"/>
        </w:tabs>
        <w:spacing w:line="400" w:lineRule="exact"/>
        <w:rPr>
          <w:rFonts w:ascii="宋体" w:hAnsi="宋体"/>
          <w:szCs w:val="21"/>
        </w:rPr>
      </w:pPr>
      <w:r>
        <w:rPr>
          <w:rFonts w:hint="eastAsia" w:ascii="宋体" w:hAnsi="宋体"/>
          <w:szCs w:val="21"/>
        </w:rPr>
        <w:t>（一）项目技术方案：</w:t>
      </w:r>
    </w:p>
    <w:p>
      <w:pPr>
        <w:adjustRightInd w:val="0"/>
        <w:snapToGrid w:val="0"/>
        <w:spacing w:line="400" w:lineRule="exact"/>
        <w:ind w:firstLine="420"/>
        <w:rPr>
          <w:rFonts w:ascii="宋体" w:hAnsi="宋体"/>
          <w:color w:val="auto"/>
          <w:szCs w:val="21"/>
          <w:highlight w:val="none"/>
        </w:rPr>
      </w:pPr>
      <w:r>
        <w:rPr>
          <w:rFonts w:hint="eastAsia" w:ascii="宋体" w:hAnsi="宋体"/>
          <w:color w:val="auto"/>
          <w:szCs w:val="21"/>
          <w:highlight w:val="none"/>
        </w:rPr>
        <w:t>本次采购项目为新沂市</w:t>
      </w:r>
      <w:r>
        <w:rPr>
          <w:rFonts w:hint="eastAsia" w:ascii="宋体" w:hAnsi="宋体"/>
          <w:color w:val="auto"/>
          <w:szCs w:val="21"/>
          <w:highlight w:val="none"/>
          <w:lang w:eastAsia="zh-CN"/>
        </w:rPr>
        <w:t>公共资源交易中心</w:t>
      </w:r>
      <w:r>
        <w:rPr>
          <w:rFonts w:hint="eastAsia" w:ascii="宋体" w:hAnsi="宋体"/>
          <w:color w:val="auto"/>
          <w:szCs w:val="21"/>
          <w:highlight w:val="none"/>
        </w:rPr>
        <w:t>档案整理及数字化服务项目，包括</w:t>
      </w:r>
      <w:r>
        <w:rPr>
          <w:rFonts w:hint="eastAsia" w:ascii="宋体" w:hAnsi="宋体"/>
          <w:color w:val="auto"/>
          <w:szCs w:val="21"/>
          <w:highlight w:val="none"/>
          <w:lang w:eastAsia="zh-CN"/>
        </w:rPr>
        <w:t>交易中心</w:t>
      </w:r>
      <w:r>
        <w:rPr>
          <w:rFonts w:hint="eastAsia" w:ascii="宋体" w:hAnsi="宋体"/>
          <w:color w:val="auto"/>
          <w:szCs w:val="21"/>
          <w:highlight w:val="none"/>
        </w:rPr>
        <w:t>现存20</w:t>
      </w:r>
      <w:r>
        <w:rPr>
          <w:rFonts w:hint="eastAsia" w:ascii="宋体" w:hAnsi="宋体"/>
          <w:color w:val="auto"/>
          <w:szCs w:val="21"/>
          <w:highlight w:val="none"/>
          <w:lang w:val="en-US" w:eastAsia="zh-CN"/>
        </w:rPr>
        <w:t>1</w:t>
      </w:r>
      <w:r>
        <w:rPr>
          <w:rFonts w:hint="eastAsia" w:ascii="宋体" w:hAnsi="宋体"/>
          <w:color w:val="auto"/>
          <w:szCs w:val="21"/>
          <w:highlight w:val="none"/>
        </w:rPr>
        <w:t>5-2020年归档案卷资料约</w:t>
      </w:r>
      <w:r>
        <w:rPr>
          <w:rFonts w:hint="eastAsia" w:ascii="宋体" w:hAnsi="宋体"/>
          <w:color w:val="auto"/>
          <w:szCs w:val="21"/>
          <w:highlight w:val="none"/>
          <w:lang w:val="en-US" w:eastAsia="zh-CN"/>
        </w:rPr>
        <w:t>60</w:t>
      </w:r>
      <w:r>
        <w:rPr>
          <w:rFonts w:hint="eastAsia" w:ascii="宋体" w:hAnsi="宋体"/>
          <w:color w:val="auto"/>
          <w:szCs w:val="21"/>
          <w:highlight w:val="none"/>
        </w:rPr>
        <w:t>万页。</w:t>
      </w:r>
    </w:p>
    <w:tbl>
      <w:tblPr>
        <w:tblStyle w:val="24"/>
        <w:tblW w:w="923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6"/>
        <w:gridCol w:w="1741"/>
        <w:gridCol w:w="1477"/>
        <w:gridCol w:w="55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olor w:val="auto"/>
                <w:highlight w:val="none"/>
              </w:rPr>
            </w:pPr>
            <w:r>
              <w:rPr>
                <w:rFonts w:hint="eastAsia" w:ascii="宋体" w:hAnsi="宋体"/>
                <w:color w:val="auto"/>
                <w:highlight w:val="none"/>
              </w:rPr>
              <w:t>序号</w:t>
            </w:r>
          </w:p>
        </w:tc>
        <w:tc>
          <w:tcPr>
            <w:tcW w:w="17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olor w:val="auto"/>
                <w:highlight w:val="none"/>
              </w:rPr>
            </w:pPr>
            <w:r>
              <w:rPr>
                <w:rFonts w:hint="eastAsia" w:ascii="宋体" w:hAnsi="宋体"/>
                <w:color w:val="auto"/>
                <w:highlight w:val="none"/>
              </w:rPr>
              <w:t>标的名称</w:t>
            </w:r>
          </w:p>
        </w:tc>
        <w:tc>
          <w:tcPr>
            <w:tcW w:w="1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olor w:val="auto"/>
                <w:highlight w:val="none"/>
              </w:rPr>
            </w:pPr>
            <w:r>
              <w:rPr>
                <w:rFonts w:hint="eastAsia" w:ascii="宋体" w:hAnsi="宋体"/>
                <w:color w:val="auto"/>
                <w:highlight w:val="none"/>
              </w:rPr>
              <w:t>数量及单位</w:t>
            </w:r>
          </w:p>
        </w:tc>
        <w:tc>
          <w:tcPr>
            <w:tcW w:w="55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olor w:val="auto"/>
                <w:highlight w:val="none"/>
              </w:rPr>
            </w:pPr>
            <w:r>
              <w:rPr>
                <w:rFonts w:hint="eastAsia" w:ascii="宋体" w:hAnsi="宋体"/>
                <w:color w:val="auto"/>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17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ascii="宋体" w:hAnsi="宋体"/>
                <w:color w:val="auto"/>
                <w:highlight w:val="none"/>
                <w:u w:val="none"/>
              </w:rPr>
            </w:pPr>
            <w:r>
              <w:rPr>
                <w:rFonts w:hint="eastAsia" w:ascii="宋体" w:hAnsi="宋体"/>
                <w:color w:val="auto"/>
                <w:szCs w:val="21"/>
                <w:highlight w:val="none"/>
                <w:u w:val="none"/>
              </w:rPr>
              <w:t>20</w:t>
            </w:r>
            <w:r>
              <w:rPr>
                <w:rFonts w:hint="eastAsia" w:ascii="宋体" w:hAnsi="宋体"/>
                <w:color w:val="auto"/>
                <w:szCs w:val="21"/>
                <w:highlight w:val="none"/>
                <w:u w:val="none"/>
                <w:lang w:val="en-US" w:eastAsia="zh-CN"/>
              </w:rPr>
              <w:t>1</w:t>
            </w:r>
            <w:r>
              <w:rPr>
                <w:rFonts w:hint="eastAsia" w:ascii="宋体" w:hAnsi="宋体"/>
                <w:color w:val="auto"/>
                <w:szCs w:val="21"/>
                <w:highlight w:val="none"/>
                <w:u w:val="none"/>
              </w:rPr>
              <w:t>5-2020</w:t>
            </w:r>
            <w:r>
              <w:rPr>
                <w:rFonts w:hint="eastAsia" w:ascii="宋体" w:hAnsi="宋体"/>
                <w:color w:val="auto"/>
                <w:highlight w:val="none"/>
                <w:u w:val="none"/>
              </w:rPr>
              <w:t>年度</w:t>
            </w:r>
            <w:r>
              <w:rPr>
                <w:rFonts w:hint="eastAsia" w:ascii="宋体" w:hAnsi="宋体"/>
                <w:color w:val="auto"/>
                <w:szCs w:val="21"/>
                <w:highlight w:val="none"/>
                <w:u w:val="none"/>
                <w:lang w:eastAsia="zh-CN"/>
              </w:rPr>
              <w:t>新沂市公共资源交易中心档案整理及数字化服务项目</w:t>
            </w:r>
          </w:p>
        </w:tc>
        <w:tc>
          <w:tcPr>
            <w:tcW w:w="14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olor w:val="auto"/>
                <w:highlight w:val="none"/>
                <w:u w:val="none"/>
              </w:rPr>
            </w:pPr>
            <w:r>
              <w:rPr>
                <w:rFonts w:hint="eastAsia" w:ascii="宋体" w:hAnsi="宋体"/>
                <w:color w:val="auto"/>
                <w:highlight w:val="none"/>
                <w:u w:val="none"/>
              </w:rPr>
              <w:t>约</w:t>
            </w:r>
            <w:r>
              <w:rPr>
                <w:rFonts w:hint="eastAsia" w:ascii="宋体" w:hAnsi="宋体"/>
                <w:color w:val="auto"/>
                <w:highlight w:val="none"/>
                <w:u w:val="none"/>
                <w:lang w:val="en-US" w:eastAsia="zh-CN"/>
              </w:rPr>
              <w:t>60</w:t>
            </w:r>
            <w:r>
              <w:rPr>
                <w:rFonts w:hint="eastAsia" w:ascii="宋体" w:hAnsi="宋体"/>
                <w:color w:val="auto"/>
                <w:highlight w:val="none"/>
                <w:u w:val="none"/>
              </w:rPr>
              <w:t>万页</w:t>
            </w:r>
          </w:p>
        </w:tc>
        <w:tc>
          <w:tcPr>
            <w:tcW w:w="55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ascii="宋体" w:hAnsi="宋体"/>
                <w:color w:val="auto"/>
                <w:szCs w:val="21"/>
                <w:highlight w:val="none"/>
              </w:rPr>
            </w:pPr>
            <w:r>
              <w:rPr>
                <w:rFonts w:hint="eastAsia" w:ascii="宋体" w:hAnsi="宋体"/>
                <w:b/>
                <w:bCs/>
                <w:color w:val="auto"/>
                <w:szCs w:val="21"/>
                <w:highlight w:val="none"/>
              </w:rPr>
              <w:t>管理类</w:t>
            </w:r>
            <w:r>
              <w:rPr>
                <w:rFonts w:hint="eastAsia" w:ascii="宋体" w:hAnsi="宋体"/>
                <w:color w:val="auto"/>
                <w:szCs w:val="21"/>
                <w:highlight w:val="none"/>
              </w:rPr>
              <w:t>组卷按文书档案要求立卷。（含分类、鉴定保管期限、排序、编档号、归档文件目录、档案目录、装盒、填写盒面等）。</w:t>
            </w:r>
          </w:p>
          <w:p>
            <w:pPr>
              <w:pStyle w:val="25"/>
              <w:adjustRightInd w:val="0"/>
              <w:snapToGrid w:val="0"/>
              <w:spacing w:line="400" w:lineRule="exact"/>
              <w:ind w:firstLine="0"/>
              <w:jc w:val="left"/>
              <w:rPr>
                <w:rFonts w:ascii="宋体" w:hAnsi="宋体"/>
                <w:color w:val="auto"/>
                <w:szCs w:val="21"/>
                <w:highlight w:val="none"/>
              </w:rPr>
            </w:pPr>
            <w:r>
              <w:rPr>
                <w:rFonts w:hint="eastAsia" w:ascii="宋体" w:hAnsi="宋体"/>
                <w:b/>
                <w:bCs/>
                <w:color w:val="auto"/>
                <w:szCs w:val="21"/>
                <w:highlight w:val="none"/>
              </w:rPr>
              <w:t>项目类</w:t>
            </w:r>
            <w:r>
              <w:rPr>
                <w:rFonts w:hint="eastAsia" w:ascii="宋体" w:hAnsi="宋体"/>
                <w:color w:val="auto"/>
                <w:szCs w:val="21"/>
                <w:highlight w:val="none"/>
              </w:rPr>
              <w:t>按科技档案要求立卷。项目内资料较多时可按准备、立项、实施、竣工等阶段立卷。</w:t>
            </w:r>
          </w:p>
          <w:p>
            <w:pPr>
              <w:pStyle w:val="25"/>
              <w:adjustRightInd w:val="0"/>
              <w:snapToGrid w:val="0"/>
              <w:spacing w:line="400" w:lineRule="exact"/>
              <w:ind w:firstLine="0"/>
              <w:jc w:val="left"/>
              <w:rPr>
                <w:rFonts w:ascii="宋体" w:hAnsi="宋体"/>
                <w:color w:val="auto"/>
                <w:szCs w:val="21"/>
                <w:highlight w:val="none"/>
              </w:rPr>
            </w:pPr>
            <w:r>
              <w:rPr>
                <w:rFonts w:hint="eastAsia" w:ascii="宋体" w:hAnsi="宋体"/>
                <w:bCs/>
                <w:color w:val="auto"/>
                <w:szCs w:val="21"/>
                <w:highlight w:val="none"/>
              </w:rPr>
              <w:t>档案按一</w:t>
            </w:r>
            <w:r>
              <w:rPr>
                <w:rFonts w:hint="eastAsia" w:ascii="宋体" w:hAnsi="宋体"/>
                <w:bCs/>
                <w:color w:val="auto"/>
                <w:szCs w:val="21"/>
                <w:highlight w:val="none"/>
                <w:lang w:eastAsia="zh-CN"/>
              </w:rPr>
              <w:t>项目</w:t>
            </w:r>
            <w:r>
              <w:rPr>
                <w:rFonts w:hint="eastAsia" w:ascii="宋体" w:hAnsi="宋体"/>
                <w:bCs/>
                <w:color w:val="auto"/>
                <w:szCs w:val="21"/>
                <w:highlight w:val="none"/>
              </w:rPr>
              <w:t>一档整理。</w:t>
            </w:r>
          </w:p>
        </w:tc>
      </w:tr>
    </w:tbl>
    <w:p>
      <w:pPr>
        <w:tabs>
          <w:tab w:val="left" w:pos="567"/>
          <w:tab w:val="left" w:pos="960"/>
        </w:tabs>
        <w:adjustRightInd w:val="0"/>
        <w:snapToGrid w:val="0"/>
        <w:spacing w:line="400" w:lineRule="exact"/>
        <w:rPr>
          <w:rFonts w:ascii="宋体" w:hAnsi="宋体"/>
          <w:bCs/>
          <w:color w:val="auto"/>
          <w:szCs w:val="21"/>
          <w:highlight w:val="none"/>
        </w:rPr>
      </w:pPr>
      <w:r>
        <w:rPr>
          <w:rFonts w:hint="eastAsia" w:ascii="宋体" w:hAnsi="宋体"/>
          <w:color w:val="auto"/>
          <w:szCs w:val="21"/>
          <w:highlight w:val="none"/>
        </w:rPr>
        <w:t>（二）工作内容应包括归档资料的分类、鉴定保管期限、组卷、排列、编页码、编档号、填写卷内备考表、装盒、填写盒面等。档案扫描、图像存储、PDF制作、数据验收、数据提交、数据备份等工作。</w:t>
      </w:r>
    </w:p>
    <w:p>
      <w:pPr>
        <w:tabs>
          <w:tab w:val="left" w:pos="567"/>
          <w:tab w:val="left" w:pos="960"/>
        </w:tabs>
        <w:spacing w:line="400" w:lineRule="exact"/>
        <w:rPr>
          <w:rFonts w:ascii="宋体" w:hAnsi="宋体"/>
          <w:szCs w:val="21"/>
        </w:rPr>
      </w:pPr>
      <w:r>
        <w:rPr>
          <w:rFonts w:hint="eastAsia" w:ascii="宋体" w:hAnsi="宋体"/>
          <w:szCs w:val="21"/>
        </w:rPr>
        <w:t>（三）项目概述</w:t>
      </w:r>
    </w:p>
    <w:p>
      <w:pPr>
        <w:tabs>
          <w:tab w:val="left" w:pos="567"/>
          <w:tab w:val="left" w:pos="960"/>
        </w:tabs>
        <w:spacing w:line="400" w:lineRule="exact"/>
        <w:ind w:left="210" w:hanging="210" w:hangingChars="100"/>
        <w:rPr>
          <w:rFonts w:ascii="宋体" w:hAnsi="宋体"/>
          <w:szCs w:val="21"/>
          <w:highlight w:val="none"/>
        </w:rPr>
      </w:pPr>
      <w:r>
        <w:rPr>
          <w:rFonts w:hint="eastAsia" w:ascii="宋体" w:hAnsi="宋体"/>
          <w:szCs w:val="21"/>
        </w:rPr>
        <w:t>1.根据采购单位工作安排，</w:t>
      </w:r>
      <w:r>
        <w:rPr>
          <w:rFonts w:hint="eastAsia" w:ascii="宋体" w:hAnsi="宋体"/>
          <w:szCs w:val="21"/>
          <w:highlight w:val="none"/>
        </w:rPr>
        <w:t>计划于</w:t>
      </w:r>
      <w:r>
        <w:rPr>
          <w:rFonts w:hint="eastAsia" w:ascii="宋体" w:hAnsi="宋体"/>
          <w:szCs w:val="21"/>
          <w:highlight w:val="none"/>
          <w:u w:val="single"/>
        </w:rPr>
        <w:t>202</w:t>
      </w:r>
      <w:r>
        <w:rPr>
          <w:rFonts w:hint="eastAsia" w:ascii="宋体" w:hAnsi="宋体"/>
          <w:szCs w:val="21"/>
          <w:highlight w:val="none"/>
          <w:u w:val="single"/>
          <w:lang w:val="en-US" w:eastAsia="zh-CN"/>
        </w:rPr>
        <w:t>3</w:t>
      </w:r>
      <w:r>
        <w:rPr>
          <w:rFonts w:hint="eastAsia" w:ascii="宋体" w:hAnsi="宋体"/>
          <w:szCs w:val="21"/>
          <w:highlight w:val="none"/>
          <w:u w:val="single"/>
        </w:rPr>
        <w:t>年</w:t>
      </w:r>
      <w:r>
        <w:rPr>
          <w:rFonts w:hint="eastAsia" w:ascii="宋体" w:hAnsi="宋体"/>
          <w:szCs w:val="21"/>
          <w:highlight w:val="none"/>
          <w:u w:val="single"/>
          <w:lang w:val="en-US" w:eastAsia="zh-CN"/>
        </w:rPr>
        <w:t>3</w:t>
      </w:r>
      <w:r>
        <w:rPr>
          <w:rFonts w:hint="eastAsia" w:ascii="宋体" w:hAnsi="宋体"/>
          <w:szCs w:val="21"/>
          <w:highlight w:val="none"/>
          <w:u w:val="single"/>
        </w:rPr>
        <w:t>月</w:t>
      </w:r>
      <w:r>
        <w:rPr>
          <w:rFonts w:hint="eastAsia" w:ascii="宋体" w:hAnsi="宋体"/>
          <w:szCs w:val="21"/>
          <w:highlight w:val="none"/>
          <w:u w:val="single"/>
          <w:lang w:val="en-US" w:eastAsia="zh-CN"/>
        </w:rPr>
        <w:t>1</w:t>
      </w:r>
      <w:r>
        <w:rPr>
          <w:rFonts w:hint="eastAsia" w:ascii="宋体" w:hAnsi="宋体"/>
          <w:szCs w:val="21"/>
          <w:highlight w:val="none"/>
          <w:u w:val="single"/>
        </w:rPr>
        <w:t>0日</w:t>
      </w:r>
      <w:r>
        <w:rPr>
          <w:rFonts w:hint="eastAsia" w:ascii="宋体" w:hAnsi="宋体"/>
          <w:szCs w:val="21"/>
          <w:highlight w:val="none"/>
        </w:rPr>
        <w:t>前完成本次新沂市</w:t>
      </w:r>
      <w:r>
        <w:rPr>
          <w:rFonts w:hint="eastAsia" w:ascii="宋体" w:hAnsi="宋体"/>
          <w:szCs w:val="21"/>
          <w:highlight w:val="none"/>
          <w:lang w:eastAsia="zh-CN"/>
        </w:rPr>
        <w:t>公共资源交易中心</w:t>
      </w:r>
      <w:r>
        <w:rPr>
          <w:rFonts w:hint="eastAsia" w:ascii="宋体" w:hAnsi="宋体"/>
          <w:szCs w:val="21"/>
          <w:highlight w:val="none"/>
        </w:rPr>
        <w:t>档案整理及数字化服务项目服务工作。</w:t>
      </w:r>
    </w:p>
    <w:p>
      <w:pPr>
        <w:tabs>
          <w:tab w:val="left" w:pos="567"/>
          <w:tab w:val="left" w:pos="960"/>
        </w:tabs>
        <w:spacing w:line="400" w:lineRule="exact"/>
        <w:rPr>
          <w:rFonts w:ascii="宋体" w:hAnsi="宋体"/>
          <w:szCs w:val="21"/>
        </w:rPr>
      </w:pPr>
      <w:r>
        <w:rPr>
          <w:rFonts w:hint="eastAsia" w:ascii="宋体" w:hAnsi="宋体"/>
          <w:szCs w:val="21"/>
        </w:rPr>
        <w:t>2.采购单位提供数字化加工服务所需工作场地。</w:t>
      </w:r>
    </w:p>
    <w:p>
      <w:pPr>
        <w:tabs>
          <w:tab w:val="left" w:pos="567"/>
          <w:tab w:val="left" w:pos="960"/>
        </w:tabs>
        <w:spacing w:line="400" w:lineRule="exact"/>
        <w:ind w:left="210" w:hanging="210" w:hangingChars="100"/>
        <w:rPr>
          <w:rFonts w:ascii="宋体" w:hAnsi="宋体"/>
          <w:b/>
          <w:bCs/>
          <w:szCs w:val="21"/>
        </w:rPr>
      </w:pPr>
      <w:r>
        <w:rPr>
          <w:rFonts w:hint="eastAsia" w:ascii="宋体" w:hAnsi="宋体"/>
          <w:szCs w:val="21"/>
        </w:rPr>
        <w:t>3.成交单位提供整个服务项目实施过程中需要的设备、配套软件及耗材，并派驻至少</w:t>
      </w:r>
      <w:r>
        <w:rPr>
          <w:rFonts w:hint="eastAsia" w:ascii="宋体" w:hAnsi="宋体"/>
          <w:b/>
          <w:bCs/>
          <w:color w:val="auto"/>
          <w:szCs w:val="21"/>
        </w:rPr>
        <w:t>十个</w:t>
      </w:r>
      <w:r>
        <w:rPr>
          <w:rFonts w:hint="eastAsia" w:ascii="宋体" w:hAnsi="宋体"/>
          <w:szCs w:val="21"/>
        </w:rPr>
        <w:t>常驻人员。由成交单位负责对</w:t>
      </w:r>
      <w:r>
        <w:rPr>
          <w:rFonts w:hint="eastAsia" w:ascii="宋体" w:hAnsi="宋体"/>
          <w:szCs w:val="21"/>
          <w:lang w:eastAsia="zh-CN"/>
        </w:rPr>
        <w:t>新沂市公共资源交易中心</w:t>
      </w:r>
      <w:r>
        <w:rPr>
          <w:rFonts w:hint="eastAsia" w:ascii="宋体" w:hAnsi="宋体"/>
          <w:color w:val="auto"/>
          <w:szCs w:val="21"/>
        </w:rPr>
        <w:t>档案进行数字化</w:t>
      </w:r>
      <w:r>
        <w:rPr>
          <w:rFonts w:hint="eastAsia" w:ascii="宋体" w:hAnsi="宋体"/>
          <w:szCs w:val="21"/>
        </w:rPr>
        <w:t>加工扫描。本项目不得以任何形式进行转包及分包。</w:t>
      </w:r>
      <w:r>
        <w:rPr>
          <w:rFonts w:hint="eastAsia" w:ascii="宋体" w:hAnsi="宋体"/>
          <w:b/>
          <w:bCs/>
          <w:szCs w:val="21"/>
        </w:rPr>
        <w:t>本项目按单价</w:t>
      </w:r>
      <w:r>
        <w:rPr>
          <w:rFonts w:hint="eastAsia" w:ascii="宋体" w:hAnsi="宋体"/>
          <w:b/>
          <w:bCs/>
          <w:szCs w:val="21"/>
          <w:lang w:eastAsia="zh-CN"/>
        </w:rPr>
        <w:t>报价</w:t>
      </w:r>
      <w:r>
        <w:rPr>
          <w:rFonts w:hint="eastAsia" w:ascii="宋体" w:hAnsi="宋体"/>
          <w:b/>
          <w:bCs/>
          <w:szCs w:val="21"/>
        </w:rPr>
        <w:t>，</w:t>
      </w:r>
      <w:r>
        <w:rPr>
          <w:rFonts w:hint="eastAsia" w:ascii="宋体" w:hAnsi="宋体"/>
          <w:b/>
          <w:bCs/>
          <w:szCs w:val="21"/>
          <w:lang w:eastAsia="zh-CN"/>
        </w:rPr>
        <w:t>结算按</w:t>
      </w:r>
      <w:r>
        <w:rPr>
          <w:rFonts w:hint="eastAsia" w:ascii="宋体" w:hAnsi="宋体"/>
          <w:b/>
          <w:bCs/>
          <w:szCs w:val="21"/>
        </w:rPr>
        <w:t>最终实际工作量*成交单价结算。</w:t>
      </w:r>
    </w:p>
    <w:p>
      <w:pPr>
        <w:tabs>
          <w:tab w:val="left" w:pos="567"/>
          <w:tab w:val="left" w:pos="960"/>
        </w:tabs>
        <w:spacing w:line="400" w:lineRule="exact"/>
        <w:rPr>
          <w:rFonts w:ascii="宋体" w:hAnsi="宋体"/>
          <w:szCs w:val="21"/>
          <w:highlight w:val="yellow"/>
        </w:rPr>
      </w:pPr>
      <w:r>
        <w:rPr>
          <w:rFonts w:hint="eastAsia" w:ascii="宋体" w:hAnsi="宋体"/>
          <w:szCs w:val="21"/>
        </w:rPr>
        <w:t>（四）</w:t>
      </w:r>
      <w:r>
        <w:rPr>
          <w:rFonts w:hint="eastAsia" w:ascii="宋体" w:hAnsi="宋体"/>
          <w:szCs w:val="21"/>
          <w:highlight w:val="none"/>
        </w:rPr>
        <w:t>工作要求</w:t>
      </w:r>
    </w:p>
    <w:p>
      <w:pPr>
        <w:tabs>
          <w:tab w:val="left" w:pos="567"/>
          <w:tab w:val="left" w:pos="960"/>
        </w:tabs>
        <w:spacing w:line="400" w:lineRule="atLeast"/>
        <w:rPr>
          <w:rFonts w:ascii="宋体" w:hAnsi="宋体"/>
          <w:szCs w:val="21"/>
        </w:rPr>
      </w:pPr>
      <w:r>
        <w:rPr>
          <w:rFonts w:hint="eastAsia" w:ascii="宋体" w:hAnsi="宋体"/>
          <w:szCs w:val="21"/>
        </w:rPr>
        <w:t>1.确保在扫描过程中不对档案原件造成二次损伤。</w:t>
      </w:r>
    </w:p>
    <w:p>
      <w:pPr>
        <w:tabs>
          <w:tab w:val="left" w:pos="567"/>
          <w:tab w:val="left" w:pos="960"/>
        </w:tabs>
        <w:spacing w:line="400" w:lineRule="atLeast"/>
        <w:ind w:left="210" w:hanging="210" w:hangingChars="100"/>
        <w:rPr>
          <w:rFonts w:ascii="宋体" w:hAnsi="宋体"/>
          <w:szCs w:val="21"/>
        </w:rPr>
      </w:pPr>
      <w:r>
        <w:rPr>
          <w:rFonts w:hint="eastAsia" w:ascii="宋体" w:hAnsi="宋体"/>
          <w:szCs w:val="21"/>
        </w:rPr>
        <w:t>2.严格遵守并达到国家标准：《中华人民共和国行业标准（DA/T 31—2005）纸质档案数字化技术规范》。</w:t>
      </w:r>
    </w:p>
    <w:p>
      <w:pPr>
        <w:tabs>
          <w:tab w:val="left" w:pos="567"/>
          <w:tab w:val="left" w:pos="960"/>
        </w:tabs>
        <w:spacing w:line="400" w:lineRule="atLeast"/>
        <w:rPr>
          <w:rFonts w:ascii="宋体" w:hAnsi="宋体"/>
          <w:szCs w:val="21"/>
        </w:rPr>
      </w:pPr>
      <w:r>
        <w:rPr>
          <w:rFonts w:hint="eastAsia" w:ascii="宋体" w:hAnsi="宋体"/>
          <w:szCs w:val="21"/>
        </w:rPr>
        <w:t>3.保证档案扫描图像与原件一致，整洁、清晰。做好档案资料原件、复印件鉴别相关工作。</w:t>
      </w:r>
    </w:p>
    <w:p>
      <w:pPr>
        <w:tabs>
          <w:tab w:val="left" w:pos="567"/>
          <w:tab w:val="left" w:pos="960"/>
        </w:tabs>
        <w:spacing w:line="400" w:lineRule="atLeast"/>
        <w:rPr>
          <w:rFonts w:ascii="宋体" w:hAnsi="宋体"/>
          <w:szCs w:val="21"/>
        </w:rPr>
      </w:pPr>
      <w:r>
        <w:rPr>
          <w:rFonts w:hint="eastAsia" w:ascii="宋体" w:hAnsi="宋体"/>
          <w:szCs w:val="21"/>
        </w:rPr>
        <w:t>4.成果要求：分辩率为文件,照片300dpi，彩色扫描。</w:t>
      </w:r>
    </w:p>
    <w:p>
      <w:pPr>
        <w:tabs>
          <w:tab w:val="left" w:pos="567"/>
          <w:tab w:val="left" w:pos="960"/>
        </w:tabs>
        <w:spacing w:line="400" w:lineRule="atLeast"/>
        <w:rPr>
          <w:rFonts w:ascii="宋体" w:hAnsi="宋体"/>
          <w:szCs w:val="21"/>
        </w:rPr>
      </w:pPr>
      <w:r>
        <w:rPr>
          <w:rFonts w:hint="eastAsia" w:ascii="宋体" w:hAnsi="宋体"/>
          <w:szCs w:val="21"/>
        </w:rPr>
        <w:t>5.确保扫描图像卷内目录100%正确。</w:t>
      </w:r>
    </w:p>
    <w:p>
      <w:pPr>
        <w:tabs>
          <w:tab w:val="left" w:pos="567"/>
          <w:tab w:val="left" w:pos="960"/>
        </w:tabs>
        <w:spacing w:line="400" w:lineRule="atLeast"/>
        <w:rPr>
          <w:rFonts w:ascii="宋体" w:hAnsi="宋体"/>
          <w:szCs w:val="21"/>
        </w:rPr>
      </w:pPr>
      <w:r>
        <w:rPr>
          <w:rFonts w:hint="eastAsia" w:ascii="宋体" w:hAnsi="宋体"/>
          <w:szCs w:val="21"/>
        </w:rPr>
        <w:t>6.扫描人员严格遵守档案管理的相关规定及档案部门的相关制度，认真做好扫描档案的保密和保护工作。</w:t>
      </w:r>
    </w:p>
    <w:p>
      <w:pPr>
        <w:tabs>
          <w:tab w:val="left" w:pos="567"/>
          <w:tab w:val="left" w:pos="960"/>
        </w:tabs>
        <w:spacing w:line="400" w:lineRule="atLeast"/>
        <w:rPr>
          <w:rFonts w:ascii="宋体" w:hAnsi="宋体"/>
          <w:szCs w:val="21"/>
        </w:rPr>
      </w:pPr>
      <w:r>
        <w:rPr>
          <w:rFonts w:hint="eastAsia" w:ascii="宋体" w:hAnsi="宋体"/>
          <w:szCs w:val="21"/>
        </w:rPr>
        <w:t>7.成交单位自觉遵守</w:t>
      </w:r>
      <w:r>
        <w:rPr>
          <w:rFonts w:hint="eastAsia" w:ascii="宋体" w:hAnsi="宋体"/>
          <w:color w:val="auto"/>
          <w:szCs w:val="21"/>
          <w:lang w:eastAsia="zh-CN"/>
        </w:rPr>
        <w:t>新沂市公共资源交易中心</w:t>
      </w:r>
      <w:r>
        <w:rPr>
          <w:rFonts w:hint="eastAsia" w:ascii="宋体" w:hAnsi="宋体"/>
          <w:szCs w:val="21"/>
        </w:rPr>
        <w:t>管理规章；</w:t>
      </w:r>
      <w:r>
        <w:rPr>
          <w:rFonts w:hint="eastAsia" w:ascii="宋体" w:hAnsi="宋体"/>
          <w:color w:val="auto"/>
          <w:szCs w:val="21"/>
        </w:rPr>
        <w:t>新沂市</w:t>
      </w:r>
      <w:r>
        <w:rPr>
          <w:rFonts w:hint="eastAsia" w:ascii="宋体" w:hAnsi="宋体"/>
          <w:color w:val="auto"/>
          <w:szCs w:val="21"/>
          <w:lang w:eastAsia="zh-CN"/>
        </w:rPr>
        <w:t>公共资源交易中心</w:t>
      </w:r>
      <w:r>
        <w:rPr>
          <w:rFonts w:hint="eastAsia" w:ascii="宋体" w:hAnsi="宋体"/>
          <w:szCs w:val="21"/>
        </w:rPr>
        <w:t>工作场所。</w:t>
      </w:r>
    </w:p>
    <w:p>
      <w:pPr>
        <w:tabs>
          <w:tab w:val="left" w:pos="567"/>
          <w:tab w:val="left" w:pos="960"/>
        </w:tabs>
        <w:spacing w:line="400" w:lineRule="atLeast"/>
        <w:rPr>
          <w:rFonts w:ascii="宋体" w:hAnsi="宋体"/>
          <w:szCs w:val="21"/>
        </w:rPr>
      </w:pPr>
      <w:r>
        <w:rPr>
          <w:rFonts w:hint="eastAsia" w:ascii="宋体" w:hAnsi="宋体"/>
          <w:szCs w:val="21"/>
        </w:rPr>
        <w:t>8.设备：数字化加工过程中的设备、耗材由</w:t>
      </w:r>
      <w:r>
        <w:rPr>
          <w:rFonts w:hint="eastAsia" w:ascii="宋体" w:hAnsi="宋体"/>
          <w:szCs w:val="21"/>
          <w:lang w:eastAsia="zh-CN"/>
        </w:rPr>
        <w:t>中标</w:t>
      </w:r>
      <w:r>
        <w:rPr>
          <w:rFonts w:hint="eastAsia" w:ascii="宋体" w:hAnsi="宋体"/>
          <w:szCs w:val="21"/>
        </w:rPr>
        <w:t>单位提供。</w:t>
      </w:r>
    </w:p>
    <w:p>
      <w:pPr>
        <w:pStyle w:val="25"/>
        <w:spacing w:line="400" w:lineRule="atLeast"/>
        <w:ind w:firstLine="0"/>
        <w:rPr>
          <w:rFonts w:ascii="宋体" w:hAnsi="宋体"/>
          <w:szCs w:val="21"/>
        </w:rPr>
      </w:pPr>
      <w:r>
        <w:rPr>
          <w:rFonts w:hint="eastAsia" w:ascii="宋体" w:hAnsi="宋体"/>
          <w:szCs w:val="21"/>
        </w:rPr>
        <w:t>9.物料：实施过程中所需要的物料（包括档案盒、卷皮等）由</w:t>
      </w:r>
      <w:r>
        <w:rPr>
          <w:rFonts w:hint="eastAsia" w:ascii="宋体" w:hAnsi="宋体"/>
          <w:szCs w:val="21"/>
          <w:lang w:eastAsia="zh-CN"/>
        </w:rPr>
        <w:t>采购人</w:t>
      </w:r>
      <w:r>
        <w:rPr>
          <w:rFonts w:hint="eastAsia" w:ascii="宋体" w:hAnsi="宋体"/>
          <w:szCs w:val="21"/>
        </w:rPr>
        <w:t>提供，且物料的材质及质量需符合</w:t>
      </w:r>
      <w:r>
        <w:rPr>
          <w:rFonts w:hint="eastAsia" w:ascii="宋体" w:hAnsi="宋体"/>
          <w:szCs w:val="21"/>
          <w:lang w:eastAsia="zh-CN"/>
        </w:rPr>
        <w:t>各类档案</w:t>
      </w:r>
      <w:r>
        <w:rPr>
          <w:rFonts w:hint="eastAsia" w:ascii="宋体" w:hAnsi="宋体"/>
          <w:szCs w:val="21"/>
        </w:rPr>
        <w:t>接收标准。</w:t>
      </w:r>
    </w:p>
    <w:p>
      <w:pPr>
        <w:tabs>
          <w:tab w:val="left" w:pos="567"/>
          <w:tab w:val="left" w:pos="960"/>
        </w:tabs>
        <w:spacing w:line="400" w:lineRule="exact"/>
        <w:rPr>
          <w:rFonts w:ascii="宋体" w:hAnsi="宋体"/>
          <w:b/>
          <w:bCs/>
          <w:szCs w:val="21"/>
          <w:highlight w:val="none"/>
        </w:rPr>
      </w:pPr>
      <w:r>
        <w:rPr>
          <w:rFonts w:hint="eastAsia" w:ascii="宋体" w:hAnsi="宋体"/>
          <w:b/>
          <w:bCs/>
          <w:szCs w:val="21"/>
          <w:highlight w:val="none"/>
        </w:rPr>
        <w:t>（五）档案整理工作要求</w:t>
      </w:r>
    </w:p>
    <w:p>
      <w:pPr>
        <w:pStyle w:val="25"/>
        <w:ind w:firstLine="0"/>
        <w:rPr>
          <w:rFonts w:hint="eastAsia" w:ascii="宋体" w:hAnsi="宋体"/>
          <w:szCs w:val="21"/>
        </w:rPr>
      </w:pPr>
      <w:r>
        <w:rPr>
          <w:rFonts w:hint="eastAsia" w:ascii="宋体" w:hAnsi="宋体"/>
          <w:szCs w:val="21"/>
        </w:rPr>
        <w:t>1.中标供应商</w:t>
      </w:r>
      <w:r>
        <w:rPr>
          <w:rFonts w:hint="eastAsia" w:ascii="宋体" w:hAnsi="宋体"/>
          <w:szCs w:val="21"/>
          <w:lang w:eastAsia="zh-CN"/>
        </w:rPr>
        <w:t>交接交易中心</w:t>
      </w:r>
      <w:r>
        <w:rPr>
          <w:rFonts w:hint="eastAsia" w:ascii="宋体" w:hAnsi="宋体"/>
          <w:szCs w:val="21"/>
          <w:lang w:val="en-US" w:eastAsia="zh-CN"/>
        </w:rPr>
        <w:t>2015-2020年的纸质档案</w:t>
      </w:r>
      <w:r>
        <w:rPr>
          <w:rFonts w:hint="eastAsia" w:ascii="宋体" w:hAnsi="宋体"/>
          <w:szCs w:val="21"/>
        </w:rPr>
        <w:t>，并办理移交手续。</w:t>
      </w:r>
    </w:p>
    <w:p>
      <w:pPr>
        <w:pStyle w:val="25"/>
        <w:ind w:firstLine="0"/>
        <w:rPr>
          <w:rFonts w:hint="eastAsia" w:ascii="宋体" w:hAnsi="宋体"/>
          <w:szCs w:val="21"/>
          <w:lang w:eastAsia="zh-CN"/>
        </w:rPr>
      </w:pPr>
      <w:r>
        <w:rPr>
          <w:rFonts w:ascii="宋体" w:hAnsi="宋体"/>
          <w:szCs w:val="21"/>
        </w:rPr>
        <w:t>2.</w:t>
      </w:r>
      <w:r>
        <w:rPr>
          <w:rFonts w:hint="eastAsia" w:ascii="宋体" w:hAnsi="宋体"/>
          <w:szCs w:val="21"/>
        </w:rPr>
        <w:t>档案</w:t>
      </w:r>
      <w:r>
        <w:rPr>
          <w:rFonts w:hint="eastAsia" w:ascii="宋体" w:hAnsi="宋体"/>
          <w:szCs w:val="21"/>
          <w:lang w:eastAsia="zh-CN"/>
        </w:rPr>
        <w:t>共分为：工程项目档案和政府采购项目档案。</w:t>
      </w:r>
    </w:p>
    <w:p>
      <w:pPr>
        <w:pStyle w:val="25"/>
        <w:ind w:firstLine="0"/>
        <w:rPr>
          <w:rFonts w:hint="eastAsia" w:ascii="宋体" w:hAnsi="宋体"/>
          <w:color w:val="auto"/>
          <w:szCs w:val="21"/>
        </w:rPr>
      </w:pPr>
      <w:r>
        <w:rPr>
          <w:rFonts w:hint="eastAsia" w:ascii="宋体" w:hAnsi="宋体"/>
          <w:color w:val="auto"/>
          <w:szCs w:val="21"/>
        </w:rPr>
        <w:t>3.</w:t>
      </w:r>
      <w:r>
        <w:rPr>
          <w:rFonts w:hint="eastAsia" w:ascii="宋体" w:hAnsi="宋体"/>
          <w:color w:val="auto"/>
          <w:szCs w:val="21"/>
          <w:lang w:eastAsia="zh-CN"/>
        </w:rPr>
        <w:t>工程类项目档案应</w:t>
      </w:r>
      <w:r>
        <w:rPr>
          <w:rFonts w:hint="eastAsia" w:ascii="宋体" w:hAnsi="宋体"/>
          <w:color w:val="auto"/>
          <w:szCs w:val="21"/>
        </w:rPr>
        <w:t>符合</w:t>
      </w:r>
      <w:r>
        <w:rPr>
          <w:rFonts w:hint="eastAsia" w:ascii="宋体" w:hAnsi="宋体"/>
          <w:color w:val="auto"/>
          <w:szCs w:val="21"/>
          <w:lang w:eastAsia="zh-CN"/>
        </w:rPr>
        <w:t>《江苏省房屋建筑和市政基础设施工程项目招标投标档案管理办法》要求。</w:t>
      </w:r>
    </w:p>
    <w:p>
      <w:pPr>
        <w:pStyle w:val="25"/>
        <w:ind w:firstLine="0"/>
        <w:rPr>
          <w:rFonts w:hint="eastAsia" w:ascii="宋体" w:hAnsi="宋体" w:eastAsia="宋体"/>
          <w:color w:val="auto"/>
          <w:szCs w:val="21"/>
          <w:lang w:eastAsia="zh-CN"/>
        </w:rPr>
      </w:pPr>
      <w:r>
        <w:rPr>
          <w:rFonts w:hint="eastAsia" w:ascii="宋体" w:hAnsi="宋体"/>
          <w:color w:val="auto"/>
          <w:szCs w:val="21"/>
          <w:lang w:val="en-US" w:eastAsia="zh-CN"/>
        </w:rPr>
        <w:t>4</w:t>
      </w:r>
      <w:r>
        <w:rPr>
          <w:rFonts w:hint="eastAsia" w:ascii="宋体" w:hAnsi="宋体"/>
          <w:color w:val="auto"/>
          <w:szCs w:val="21"/>
        </w:rPr>
        <w:t>.</w:t>
      </w:r>
      <w:r>
        <w:rPr>
          <w:rFonts w:hint="eastAsia" w:ascii="宋体" w:hAnsi="宋体"/>
          <w:color w:val="auto"/>
          <w:szCs w:val="21"/>
          <w:lang w:eastAsia="zh-CN"/>
        </w:rPr>
        <w:t>政府采购类项目档案应符合《江苏省政府采购档案管理暂行办法》要求。</w:t>
      </w:r>
    </w:p>
    <w:p>
      <w:pPr>
        <w:tabs>
          <w:tab w:val="left" w:pos="567"/>
          <w:tab w:val="left" w:pos="960"/>
        </w:tabs>
        <w:spacing w:line="400" w:lineRule="exact"/>
        <w:rPr>
          <w:rFonts w:hint="eastAsia" w:ascii="宋体" w:hAnsi="宋体" w:eastAsia="宋体"/>
          <w:szCs w:val="21"/>
          <w:highlight w:val="none"/>
          <w:lang w:eastAsia="zh-CN"/>
        </w:rPr>
      </w:pPr>
      <w:r>
        <w:rPr>
          <w:rFonts w:hint="eastAsia" w:ascii="宋体" w:hAnsi="宋体"/>
          <w:szCs w:val="21"/>
          <w:highlight w:val="none"/>
        </w:rPr>
        <w:t>（六）档案数字化要求</w:t>
      </w:r>
    </w:p>
    <w:p>
      <w:pPr>
        <w:tabs>
          <w:tab w:val="left" w:pos="567"/>
        </w:tabs>
        <w:spacing w:line="400" w:lineRule="exact"/>
        <w:ind w:left="210" w:hanging="210" w:hangingChars="100"/>
        <w:rPr>
          <w:rFonts w:ascii="宋体" w:hAnsi="宋体"/>
          <w:szCs w:val="21"/>
        </w:rPr>
      </w:pPr>
      <w:r>
        <w:rPr>
          <w:rFonts w:hint="eastAsia" w:ascii="宋体" w:hAnsi="宋体"/>
          <w:szCs w:val="21"/>
        </w:rPr>
        <w:t>1.</w:t>
      </w:r>
      <w:r>
        <w:rPr>
          <w:rFonts w:hint="eastAsia" w:ascii="宋体" w:hAnsi="宋体"/>
          <w:color w:val="auto"/>
          <w:szCs w:val="21"/>
          <w:lang w:eastAsia="zh-CN"/>
        </w:rPr>
        <w:t>新沂市公共资源交易中心</w:t>
      </w:r>
      <w:r>
        <w:rPr>
          <w:rFonts w:hint="eastAsia" w:ascii="宋体" w:hAnsi="宋体"/>
          <w:szCs w:val="21"/>
        </w:rPr>
        <w:t>档案整理及数字化服务项目包括：前期检查、整理、排序、扫描、制作、质检、目录的核对、目录打印、完善、PDF制作、档案、备份等。</w:t>
      </w:r>
    </w:p>
    <w:p>
      <w:pPr>
        <w:tabs>
          <w:tab w:val="left" w:pos="567"/>
        </w:tabs>
        <w:spacing w:line="400" w:lineRule="exact"/>
        <w:rPr>
          <w:rFonts w:ascii="宋体" w:hAnsi="宋体"/>
          <w:szCs w:val="21"/>
        </w:rPr>
      </w:pPr>
      <w:r>
        <w:rPr>
          <w:rFonts w:hint="eastAsia" w:ascii="宋体" w:hAnsi="宋体"/>
          <w:szCs w:val="21"/>
        </w:rPr>
        <w:t>2.扫描要求</w:t>
      </w:r>
    </w:p>
    <w:p>
      <w:pPr>
        <w:tabs>
          <w:tab w:val="left" w:pos="567"/>
          <w:tab w:val="left" w:pos="960"/>
        </w:tabs>
        <w:spacing w:line="400" w:lineRule="exact"/>
        <w:rPr>
          <w:rFonts w:ascii="宋体" w:hAnsi="宋体"/>
          <w:szCs w:val="21"/>
        </w:rPr>
      </w:pPr>
      <w:r>
        <w:rPr>
          <w:rFonts w:hint="eastAsia" w:ascii="宋体" w:hAnsi="宋体"/>
          <w:szCs w:val="21"/>
        </w:rPr>
        <w:t>（1）扫描影像存储格式：PDF格式。</w:t>
      </w:r>
    </w:p>
    <w:p>
      <w:pPr>
        <w:tabs>
          <w:tab w:val="left" w:pos="567"/>
          <w:tab w:val="left" w:pos="960"/>
        </w:tabs>
        <w:spacing w:line="400" w:lineRule="exact"/>
        <w:ind w:left="420" w:hanging="420" w:hangingChars="200"/>
        <w:rPr>
          <w:rFonts w:ascii="宋体" w:hAnsi="宋体"/>
          <w:szCs w:val="21"/>
        </w:rPr>
      </w:pPr>
      <w:r>
        <w:rPr>
          <w:rFonts w:hint="eastAsia" w:ascii="宋体" w:hAnsi="宋体"/>
          <w:szCs w:val="21"/>
        </w:rPr>
        <w:t>（2）对同一档案编号的文件及其附件进行合并，生成一个文件，不乱序，不混档，文件以档案编号进行命名，按全宗号/目录号/案卷号/档号进行存储；</w:t>
      </w:r>
    </w:p>
    <w:p>
      <w:pPr>
        <w:tabs>
          <w:tab w:val="left" w:pos="567"/>
          <w:tab w:val="left" w:pos="960"/>
        </w:tabs>
        <w:spacing w:line="400" w:lineRule="exact"/>
        <w:ind w:left="420" w:hanging="420" w:hangingChars="200"/>
        <w:rPr>
          <w:rFonts w:ascii="宋体" w:hAnsi="宋体"/>
          <w:szCs w:val="21"/>
        </w:rPr>
      </w:pPr>
      <w:r>
        <w:rPr>
          <w:rFonts w:hint="eastAsia" w:ascii="宋体" w:hAnsi="宋体"/>
          <w:szCs w:val="21"/>
        </w:rPr>
        <w:t>（3）图片的扫描精度要求扫描后的图像清晰、不失真、完整、不影响图像的利用效果，图像缩放100%；</w:t>
      </w:r>
    </w:p>
    <w:p>
      <w:pPr>
        <w:tabs>
          <w:tab w:val="left" w:pos="567"/>
          <w:tab w:val="left" w:pos="960"/>
        </w:tabs>
        <w:spacing w:line="400" w:lineRule="exact"/>
        <w:rPr>
          <w:rFonts w:ascii="宋体" w:hAnsi="宋体"/>
          <w:szCs w:val="21"/>
        </w:rPr>
      </w:pPr>
      <w:r>
        <w:rPr>
          <w:rFonts w:hint="eastAsia" w:ascii="宋体" w:hAnsi="宋体"/>
          <w:szCs w:val="21"/>
        </w:rPr>
        <w:t>（4）电子图片不允许有折叠或缺损，保持图像的完整，图片端正、无扭曲。</w:t>
      </w:r>
    </w:p>
    <w:p>
      <w:pPr>
        <w:tabs>
          <w:tab w:val="left" w:pos="567"/>
          <w:tab w:val="left" w:pos="960"/>
        </w:tabs>
        <w:spacing w:line="400" w:lineRule="exact"/>
        <w:rPr>
          <w:rFonts w:ascii="宋体" w:hAnsi="宋体"/>
          <w:szCs w:val="21"/>
        </w:rPr>
      </w:pPr>
      <w:r>
        <w:rPr>
          <w:rFonts w:hint="eastAsia" w:ascii="宋体" w:hAnsi="宋体"/>
          <w:szCs w:val="21"/>
        </w:rPr>
        <w:t>（七）其他要求：</w:t>
      </w:r>
    </w:p>
    <w:p>
      <w:pPr>
        <w:tabs>
          <w:tab w:val="left" w:pos="567"/>
        </w:tabs>
        <w:spacing w:line="400" w:lineRule="exact"/>
        <w:ind w:left="210" w:hanging="210" w:hangingChars="100"/>
        <w:rPr>
          <w:rFonts w:ascii="宋体" w:hAnsi="宋体"/>
          <w:szCs w:val="21"/>
        </w:rPr>
      </w:pPr>
      <w:r>
        <w:rPr>
          <w:rFonts w:hint="eastAsia" w:ascii="宋体" w:hAnsi="宋体"/>
          <w:szCs w:val="21"/>
        </w:rPr>
        <w:t>1.档案目录核对、完善：由于原始老档案条目信息存在繁体草书、内容不全、错误、遗漏等不规范的情况，要求对已有的卷内目录按要求进行核对、修正，确保准确，确保档号与题名的完整。</w:t>
      </w:r>
    </w:p>
    <w:p>
      <w:pPr>
        <w:tabs>
          <w:tab w:val="left" w:pos="567"/>
        </w:tabs>
        <w:spacing w:line="400" w:lineRule="exact"/>
        <w:ind w:left="210" w:hanging="210" w:hangingChars="100"/>
        <w:rPr>
          <w:rFonts w:ascii="宋体" w:hAnsi="宋体"/>
          <w:szCs w:val="21"/>
        </w:rPr>
      </w:pPr>
      <w:r>
        <w:rPr>
          <w:rFonts w:hint="eastAsia" w:ascii="宋体" w:hAnsi="宋体"/>
          <w:szCs w:val="21"/>
        </w:rPr>
        <w:t xml:space="preserve">2.纸质档案的整理要求：扫描前，对档案进行拆卷并整理，对不平整的档案进行平整。扫描结束，须把档案恢复后按序上架，档案的页码不得出现错页、漏页、页次颠倒等现象，要符合国家相关标准。 </w:t>
      </w:r>
    </w:p>
    <w:p>
      <w:pPr>
        <w:tabs>
          <w:tab w:val="left" w:pos="567"/>
        </w:tabs>
        <w:spacing w:line="400" w:lineRule="exact"/>
        <w:rPr>
          <w:rFonts w:ascii="宋体" w:hAnsi="宋体"/>
          <w:szCs w:val="21"/>
        </w:rPr>
      </w:pPr>
      <w:r>
        <w:rPr>
          <w:rFonts w:hint="eastAsia" w:ascii="宋体" w:hAnsi="宋体"/>
          <w:szCs w:val="21"/>
        </w:rPr>
        <w:t>3.纸张状况较差，过薄、过软或超厚的档案，应采用平板扫描方式，不得损坏纸质档案。</w:t>
      </w:r>
    </w:p>
    <w:p>
      <w:pPr>
        <w:tabs>
          <w:tab w:val="left" w:pos="567"/>
        </w:tabs>
        <w:spacing w:line="400" w:lineRule="exact"/>
        <w:rPr>
          <w:rFonts w:ascii="宋体" w:hAnsi="宋体"/>
          <w:szCs w:val="21"/>
        </w:rPr>
      </w:pPr>
      <w:r>
        <w:rPr>
          <w:rFonts w:hint="eastAsia" w:ascii="宋体" w:hAnsi="宋体"/>
          <w:szCs w:val="21"/>
        </w:rPr>
        <w:t>4.要求数据准确与纸质档案匹配；档案号命名符合规范。</w:t>
      </w:r>
    </w:p>
    <w:p>
      <w:pPr>
        <w:tabs>
          <w:tab w:val="left" w:pos="567"/>
        </w:tabs>
        <w:spacing w:line="400" w:lineRule="exact"/>
        <w:ind w:left="210" w:hanging="210" w:hangingChars="100"/>
        <w:rPr>
          <w:rFonts w:ascii="宋体" w:hAnsi="宋体"/>
          <w:szCs w:val="21"/>
        </w:rPr>
      </w:pPr>
      <w:r>
        <w:rPr>
          <w:rFonts w:hint="eastAsia" w:ascii="宋体" w:hAnsi="宋体"/>
          <w:szCs w:val="21"/>
        </w:rPr>
        <w:t>5.成交单位必须保证档案内容与档案载体的安全，不得丢失、泄密、损坏，提交相应电子数据的备份。</w:t>
      </w:r>
    </w:p>
    <w:p>
      <w:pPr>
        <w:tabs>
          <w:tab w:val="left" w:pos="567"/>
        </w:tabs>
        <w:spacing w:line="400" w:lineRule="exact"/>
        <w:rPr>
          <w:rFonts w:ascii="宋体" w:hAnsi="宋体"/>
          <w:szCs w:val="21"/>
        </w:rPr>
      </w:pPr>
      <w:r>
        <w:rPr>
          <w:rFonts w:hint="eastAsia" w:ascii="宋体" w:hAnsi="宋体"/>
          <w:szCs w:val="21"/>
        </w:rPr>
        <w:t>6.电子档案以及纸质档案的制作整理要求以及验收标准符合国家纸质档案数字化技术规范。</w:t>
      </w:r>
    </w:p>
    <w:p>
      <w:pPr>
        <w:pStyle w:val="25"/>
        <w:ind w:firstLine="0"/>
      </w:pPr>
      <w:r>
        <w:rPr>
          <w:rFonts w:hint="eastAsia" w:ascii="宋体" w:hAnsi="宋体"/>
          <w:szCs w:val="21"/>
        </w:rPr>
        <w:t>7.数字化成</w:t>
      </w:r>
      <w:r>
        <w:rPr>
          <w:rFonts w:hint="eastAsia"/>
        </w:rPr>
        <w:t>果符合档案接收条件。</w:t>
      </w:r>
    </w:p>
    <w:p>
      <w:pPr>
        <w:tabs>
          <w:tab w:val="left" w:pos="567"/>
          <w:tab w:val="left" w:pos="960"/>
        </w:tabs>
        <w:spacing w:line="400" w:lineRule="exact"/>
        <w:rPr>
          <w:rFonts w:ascii="宋体" w:hAnsi="宋体"/>
          <w:szCs w:val="21"/>
          <w:highlight w:val="none"/>
        </w:rPr>
      </w:pPr>
      <w:r>
        <w:rPr>
          <w:rFonts w:hint="eastAsia" w:ascii="宋体" w:hAnsi="宋体"/>
          <w:szCs w:val="21"/>
          <w:highlight w:val="none"/>
        </w:rPr>
        <w:t>（八）保密要求</w:t>
      </w:r>
    </w:p>
    <w:p>
      <w:pPr>
        <w:tabs>
          <w:tab w:val="left" w:pos="567"/>
          <w:tab w:val="left" w:pos="960"/>
        </w:tabs>
        <w:spacing w:line="400" w:lineRule="exact"/>
        <w:ind w:left="210" w:hanging="210" w:hangingChars="100"/>
        <w:rPr>
          <w:rFonts w:ascii="宋体" w:hAnsi="宋体"/>
          <w:szCs w:val="21"/>
        </w:rPr>
      </w:pPr>
      <w:r>
        <w:rPr>
          <w:rFonts w:hint="eastAsia" w:ascii="宋体" w:hAnsi="宋体"/>
          <w:szCs w:val="21"/>
        </w:rPr>
        <w:t>1.成交单位须在合同中进行责任约定（保密安全协议另签）；成交单位在工作期间必须遵守</w:t>
      </w:r>
      <w:r>
        <w:rPr>
          <w:rFonts w:hint="eastAsia" w:ascii="宋体" w:hAnsi="宋体"/>
          <w:szCs w:val="21"/>
          <w:lang w:eastAsia="zh-CN"/>
        </w:rPr>
        <w:t>新沂市公共资源交易中心</w:t>
      </w:r>
      <w:r>
        <w:rPr>
          <w:rFonts w:hint="eastAsia" w:ascii="宋体" w:hAnsi="宋体"/>
          <w:szCs w:val="21"/>
        </w:rPr>
        <w:t>的相关保密制度。</w:t>
      </w:r>
    </w:p>
    <w:p>
      <w:pPr>
        <w:tabs>
          <w:tab w:val="left" w:pos="567"/>
          <w:tab w:val="left" w:pos="960"/>
        </w:tabs>
        <w:spacing w:line="400" w:lineRule="exact"/>
        <w:ind w:left="210" w:hanging="210" w:hangingChars="100"/>
        <w:rPr>
          <w:rFonts w:ascii="宋体" w:hAnsi="宋体"/>
          <w:szCs w:val="21"/>
        </w:rPr>
      </w:pPr>
      <w:r>
        <w:rPr>
          <w:rFonts w:hint="eastAsia" w:ascii="宋体" w:hAnsi="宋体"/>
          <w:szCs w:val="21"/>
        </w:rPr>
        <w:t>2.新沂市</w:t>
      </w:r>
      <w:r>
        <w:rPr>
          <w:rFonts w:hint="eastAsia" w:ascii="宋体" w:hAnsi="宋体"/>
          <w:szCs w:val="21"/>
          <w:lang w:eastAsia="zh-CN"/>
        </w:rPr>
        <w:t>公共资源交易中心</w:t>
      </w:r>
      <w:r>
        <w:rPr>
          <w:rFonts w:hint="eastAsia" w:ascii="宋体" w:hAnsi="宋体"/>
          <w:szCs w:val="21"/>
        </w:rPr>
        <w:t>档案整理及数字化服务项目</w:t>
      </w:r>
      <w:r>
        <w:rPr>
          <w:rFonts w:hint="eastAsia" w:ascii="宋体" w:hAnsi="宋体"/>
          <w:szCs w:val="21"/>
          <w:lang w:eastAsia="zh-CN"/>
        </w:rPr>
        <w:t>中</w:t>
      </w:r>
      <w:r>
        <w:rPr>
          <w:rFonts w:hint="eastAsia" w:ascii="宋体" w:hAnsi="宋体"/>
          <w:szCs w:val="21"/>
        </w:rPr>
        <w:t>的各种资料所有权属新沂市</w:t>
      </w:r>
      <w:r>
        <w:rPr>
          <w:rFonts w:hint="eastAsia" w:ascii="宋体" w:hAnsi="宋体"/>
          <w:szCs w:val="21"/>
          <w:lang w:eastAsia="zh-CN"/>
        </w:rPr>
        <w:t>公共资源交易中心</w:t>
      </w:r>
      <w:r>
        <w:rPr>
          <w:rFonts w:hint="eastAsia" w:ascii="宋体" w:hAnsi="宋体"/>
          <w:szCs w:val="21"/>
        </w:rPr>
        <w:t>，各种纸质资料及各种清单等在项目结束时都必须完整移交。</w:t>
      </w:r>
    </w:p>
    <w:p>
      <w:pPr>
        <w:tabs>
          <w:tab w:val="left" w:pos="567"/>
          <w:tab w:val="left" w:pos="960"/>
        </w:tabs>
        <w:spacing w:line="400" w:lineRule="exact"/>
        <w:ind w:left="210" w:hanging="210" w:hangingChars="100"/>
        <w:rPr>
          <w:rFonts w:ascii="宋体" w:hAnsi="宋体"/>
          <w:szCs w:val="21"/>
        </w:rPr>
      </w:pPr>
      <w:r>
        <w:rPr>
          <w:rFonts w:hint="eastAsia" w:ascii="宋体" w:hAnsi="宋体"/>
          <w:szCs w:val="21"/>
        </w:rPr>
        <w:t>3.工作人员不得以任何形式将各项档案资料带出指定工作现场，不得以任何形式进行泄漏、传播；不得无故查看及讨论档案内容。</w:t>
      </w:r>
    </w:p>
    <w:p>
      <w:pPr>
        <w:tabs>
          <w:tab w:val="left" w:pos="567"/>
          <w:tab w:val="left" w:pos="960"/>
        </w:tabs>
        <w:spacing w:line="400" w:lineRule="exact"/>
        <w:rPr>
          <w:rFonts w:ascii="宋体" w:hAnsi="宋体"/>
          <w:szCs w:val="21"/>
        </w:rPr>
      </w:pPr>
      <w:r>
        <w:rPr>
          <w:rFonts w:hint="eastAsia" w:ascii="宋体" w:hAnsi="宋体"/>
          <w:szCs w:val="21"/>
        </w:rPr>
        <w:t>4.各种档案文件，不得丢失、泄密、损坏。</w:t>
      </w:r>
    </w:p>
    <w:p>
      <w:pPr>
        <w:tabs>
          <w:tab w:val="left" w:pos="567"/>
          <w:tab w:val="left" w:pos="960"/>
        </w:tabs>
        <w:spacing w:line="400" w:lineRule="exact"/>
        <w:rPr>
          <w:rFonts w:ascii="宋体" w:hAnsi="宋体"/>
          <w:szCs w:val="21"/>
        </w:rPr>
      </w:pPr>
      <w:r>
        <w:rPr>
          <w:rFonts w:hint="eastAsia" w:ascii="宋体" w:hAnsi="宋体"/>
          <w:szCs w:val="21"/>
        </w:rPr>
        <w:t>5.参与项目实施的人员不得有违法犯罪的记录，不得采用临时聘用人员。</w:t>
      </w:r>
    </w:p>
    <w:p>
      <w:pPr>
        <w:tabs>
          <w:tab w:val="left" w:pos="567"/>
          <w:tab w:val="left" w:pos="960"/>
        </w:tabs>
        <w:spacing w:line="400" w:lineRule="exact"/>
        <w:rPr>
          <w:rFonts w:ascii="宋体" w:hAnsi="宋体"/>
          <w:szCs w:val="21"/>
        </w:rPr>
      </w:pPr>
      <w:r>
        <w:rPr>
          <w:rFonts w:hint="eastAsia" w:ascii="宋体" w:hAnsi="宋体"/>
          <w:szCs w:val="21"/>
        </w:rPr>
        <w:t>6.移动存储介质的使用必须通过采购单位同意。</w:t>
      </w:r>
    </w:p>
    <w:p>
      <w:pPr>
        <w:tabs>
          <w:tab w:val="left" w:pos="567"/>
          <w:tab w:val="left" w:pos="960"/>
        </w:tabs>
        <w:spacing w:line="400" w:lineRule="exact"/>
        <w:rPr>
          <w:rFonts w:ascii="宋体" w:hAnsi="宋体"/>
          <w:b/>
          <w:bCs/>
          <w:szCs w:val="21"/>
          <w:highlight w:val="none"/>
        </w:rPr>
      </w:pPr>
      <w:r>
        <w:rPr>
          <w:rFonts w:hint="eastAsia" w:ascii="宋体" w:hAnsi="宋体"/>
          <w:b/>
          <w:bCs/>
          <w:szCs w:val="21"/>
          <w:highlight w:val="none"/>
        </w:rPr>
        <w:t>（九）整理及数据验收</w:t>
      </w:r>
    </w:p>
    <w:p>
      <w:pPr>
        <w:pStyle w:val="25"/>
        <w:ind w:firstLine="0"/>
        <w:rPr>
          <w:b/>
          <w:bCs/>
          <w:highlight w:val="none"/>
        </w:rPr>
      </w:pPr>
      <w:r>
        <w:rPr>
          <w:rFonts w:hint="eastAsia" w:ascii="宋体" w:hAnsi="宋体"/>
          <w:b/>
          <w:bCs/>
          <w:szCs w:val="21"/>
          <w:highlight w:val="none"/>
        </w:rPr>
        <w:t>1.整理验收</w:t>
      </w:r>
    </w:p>
    <w:p>
      <w:pPr>
        <w:pStyle w:val="25"/>
        <w:ind w:left="0" w:leftChars="0"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工程类项目档案按</w:t>
      </w:r>
      <w:r>
        <w:rPr>
          <w:rFonts w:hint="eastAsia" w:ascii="宋体" w:hAnsi="宋体"/>
          <w:color w:val="auto"/>
          <w:szCs w:val="21"/>
          <w:highlight w:val="none"/>
          <w:lang w:val="en-US" w:eastAsia="zh-CN"/>
        </w:rPr>
        <w:t xml:space="preserve">《江苏省房屋建筑和市政基础设施工程项目招标投标档案管理办法》                </w:t>
      </w:r>
      <w:r>
        <w:rPr>
          <w:rFonts w:hint="eastAsia" w:ascii="宋体" w:hAnsi="宋体"/>
          <w:color w:val="auto"/>
          <w:szCs w:val="21"/>
          <w:highlight w:val="none"/>
        </w:rPr>
        <w:t>档案规范要求验收</w:t>
      </w:r>
      <w:r>
        <w:rPr>
          <w:rFonts w:hint="eastAsia" w:ascii="宋体" w:hAnsi="宋体"/>
          <w:color w:val="auto"/>
          <w:szCs w:val="21"/>
          <w:highlight w:val="none"/>
          <w:lang w:eastAsia="zh-CN"/>
        </w:rPr>
        <w:t>。</w:t>
      </w:r>
    </w:p>
    <w:p>
      <w:pPr>
        <w:pStyle w:val="25"/>
        <w:ind w:left="0" w:leftChars="0"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政府</w:t>
      </w:r>
      <w:r>
        <w:rPr>
          <w:rFonts w:hint="eastAsia" w:ascii="宋体" w:hAnsi="宋体"/>
          <w:color w:val="auto"/>
          <w:szCs w:val="21"/>
          <w:highlight w:val="none"/>
          <w:lang w:eastAsia="zh-CN"/>
        </w:rPr>
        <w:t>采购类项目档案按《江苏省政府采购档案管理暂行办法》</w:t>
      </w:r>
      <w:r>
        <w:rPr>
          <w:rFonts w:hint="eastAsia" w:ascii="宋体" w:hAnsi="宋体"/>
          <w:color w:val="auto"/>
          <w:szCs w:val="21"/>
          <w:highlight w:val="none"/>
        </w:rPr>
        <w:t>规范要求验收</w:t>
      </w:r>
      <w:r>
        <w:rPr>
          <w:rFonts w:hint="eastAsia" w:ascii="宋体" w:hAnsi="宋体"/>
          <w:color w:val="auto"/>
          <w:szCs w:val="21"/>
          <w:highlight w:val="none"/>
          <w:lang w:eastAsia="zh-CN"/>
        </w:rPr>
        <w:t>。</w:t>
      </w:r>
    </w:p>
    <w:p>
      <w:pPr>
        <w:pStyle w:val="25"/>
        <w:ind w:firstLine="0"/>
        <w:rPr>
          <w:rFonts w:asciiTheme="majorEastAsia" w:hAnsiTheme="majorEastAsia" w:eastAsiaTheme="majorEastAsia"/>
          <w:b/>
          <w:bCs/>
          <w:szCs w:val="21"/>
        </w:rPr>
      </w:pPr>
      <w:r>
        <w:rPr>
          <w:rFonts w:hint="eastAsia" w:asciiTheme="majorEastAsia" w:hAnsiTheme="majorEastAsia" w:eastAsiaTheme="majorEastAsia"/>
          <w:b/>
          <w:bCs/>
        </w:rPr>
        <w:t>2.数据验收</w:t>
      </w:r>
    </w:p>
    <w:p>
      <w:pPr>
        <w:pStyle w:val="25"/>
        <w:ind w:firstLine="0"/>
        <w:rPr>
          <w:rFonts w:asciiTheme="majorEastAsia" w:hAnsiTheme="majorEastAsia" w:eastAsiaTheme="majorEastAsia"/>
          <w:b/>
          <w:bCs/>
          <w:szCs w:val="21"/>
        </w:rPr>
      </w:pPr>
      <w:r>
        <w:rPr>
          <w:rFonts w:hint="eastAsia" w:asciiTheme="majorEastAsia" w:hAnsiTheme="majorEastAsia" w:eastAsiaTheme="majorEastAsia"/>
          <w:b/>
          <w:bCs/>
          <w:szCs w:val="21"/>
        </w:rPr>
        <w:t>（1）数据抽检</w:t>
      </w:r>
    </w:p>
    <w:p>
      <w:pPr>
        <w:pStyle w:val="25"/>
        <w:ind w:firstLine="0"/>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1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以抽检的方式检查已完成扫描的所有图像数据。</w:t>
      </w:r>
    </w:p>
    <w:p>
      <w:pPr>
        <w:pStyle w:val="25"/>
        <w:ind w:firstLine="0"/>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一个全宗的档案，数据验收时抽检的比率不得低于5%。</w:t>
      </w:r>
    </w:p>
    <w:p>
      <w:pPr>
        <w:pStyle w:val="25"/>
        <w:ind w:firstLine="0"/>
        <w:rPr>
          <w:rFonts w:ascii="宋体" w:hAnsi="宋体"/>
          <w:b/>
          <w:bCs/>
          <w:szCs w:val="21"/>
        </w:rPr>
      </w:pPr>
      <w:r>
        <w:rPr>
          <w:rFonts w:hint="eastAsia" w:ascii="宋体" w:hAnsi="宋体"/>
          <w:b/>
          <w:bCs/>
          <w:szCs w:val="21"/>
        </w:rPr>
        <w:t>(2) 验收指标</w:t>
      </w:r>
    </w:p>
    <w:p>
      <w:pPr>
        <w:tabs>
          <w:tab w:val="left" w:pos="567"/>
          <w:tab w:val="left" w:pos="960"/>
        </w:tabs>
        <w:spacing w:line="400" w:lineRule="exact"/>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1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档案：检查所有档案的还原情况，差错率≤1‰。</w:t>
      </w:r>
    </w:p>
    <w:p>
      <w:pPr>
        <w:tabs>
          <w:tab w:val="left" w:pos="567"/>
          <w:tab w:val="left" w:pos="960"/>
        </w:tabs>
        <w:spacing w:line="400" w:lineRule="exact"/>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扫描图像：漏扫率≤0.2‰。</w:t>
      </w:r>
    </w:p>
    <w:p>
      <w:pPr>
        <w:tabs>
          <w:tab w:val="left" w:pos="567"/>
          <w:tab w:val="left" w:pos="960"/>
        </w:tabs>
        <w:spacing w:line="400" w:lineRule="exact"/>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3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③</w:t>
      </w:r>
      <w:r>
        <w:rPr>
          <w:rFonts w:ascii="宋体" w:hAnsi="宋体"/>
          <w:szCs w:val="21"/>
        </w:rPr>
        <w:fldChar w:fldCharType="end"/>
      </w:r>
      <w:r>
        <w:rPr>
          <w:rFonts w:hint="eastAsia" w:ascii="宋体" w:hAnsi="宋体"/>
          <w:szCs w:val="21"/>
        </w:rPr>
        <w:t>图像质量：图像质量情况完好率99%。</w:t>
      </w:r>
    </w:p>
    <w:p>
      <w:pPr>
        <w:tabs>
          <w:tab w:val="left" w:pos="567"/>
          <w:tab w:val="left" w:pos="960"/>
        </w:tabs>
        <w:spacing w:line="400" w:lineRule="exact"/>
        <w:rPr>
          <w:rFonts w:ascii="宋体" w:hAnsi="宋体"/>
          <w:color w:val="FF0000"/>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4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④</w:t>
      </w:r>
      <w:r>
        <w:rPr>
          <w:rFonts w:ascii="宋体" w:hAnsi="宋体"/>
          <w:szCs w:val="21"/>
        </w:rPr>
        <w:fldChar w:fldCharType="end"/>
      </w:r>
      <w:r>
        <w:rPr>
          <w:rFonts w:hint="eastAsia" w:ascii="宋体" w:hAnsi="宋体"/>
          <w:szCs w:val="21"/>
        </w:rPr>
        <w:t>目录核对、完善：以案卷（文件）为单位，正确率100%，其余录入错误率≤1‰。</w:t>
      </w:r>
    </w:p>
    <w:p>
      <w:pPr>
        <w:tabs>
          <w:tab w:val="left" w:pos="567"/>
          <w:tab w:val="left" w:pos="960"/>
        </w:tabs>
        <w:spacing w:line="400" w:lineRule="exact"/>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5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⑤</w:t>
      </w:r>
      <w:r>
        <w:rPr>
          <w:rFonts w:ascii="宋体" w:hAnsi="宋体"/>
          <w:szCs w:val="21"/>
        </w:rPr>
        <w:fldChar w:fldCharType="end"/>
      </w:r>
      <w:r>
        <w:rPr>
          <w:rFonts w:hint="eastAsia" w:ascii="宋体" w:hAnsi="宋体"/>
          <w:szCs w:val="21"/>
        </w:rPr>
        <w:t>档案原始材料：100%不缺失。</w:t>
      </w:r>
    </w:p>
    <w:p>
      <w:pPr>
        <w:tabs>
          <w:tab w:val="left" w:pos="567"/>
          <w:tab w:val="left" w:pos="960"/>
        </w:tabs>
        <w:spacing w:line="400" w:lineRule="exact"/>
        <w:rPr>
          <w:rFonts w:ascii="宋体" w:hAnsi="宋体"/>
          <w:szCs w:val="21"/>
        </w:rPr>
      </w:pPr>
      <w:r>
        <w:rPr>
          <w:rFonts w:hint="eastAsia" w:ascii="宋体" w:hAnsi="宋体"/>
          <w:szCs w:val="21"/>
        </w:rPr>
        <w:t>3.验收审核（甲方：采购单位；乙方：成交单位及档案接收单位）</w:t>
      </w:r>
    </w:p>
    <w:p>
      <w:pPr>
        <w:tabs>
          <w:tab w:val="left" w:pos="567"/>
          <w:tab w:val="left" w:pos="960"/>
        </w:tabs>
        <w:spacing w:line="400" w:lineRule="exact"/>
        <w:rPr>
          <w:rFonts w:ascii="宋体" w:hAnsi="宋体"/>
          <w:szCs w:val="21"/>
        </w:rPr>
      </w:pPr>
      <w:r>
        <w:rPr>
          <w:rFonts w:ascii="宋体" w:hAnsi="宋体"/>
          <w:szCs w:val="21"/>
        </w:rPr>
        <w:t>（</w:t>
      </w:r>
      <w:r>
        <w:rPr>
          <w:rFonts w:hint="eastAsia" w:ascii="宋体" w:hAnsi="宋体"/>
          <w:szCs w:val="21"/>
        </w:rPr>
        <w:t>1</w:t>
      </w:r>
      <w:r>
        <w:rPr>
          <w:rFonts w:ascii="宋体" w:hAnsi="宋体"/>
          <w:szCs w:val="21"/>
        </w:rPr>
        <w:t>）</w:t>
      </w:r>
      <w:r>
        <w:rPr>
          <w:rFonts w:hint="eastAsia" w:ascii="宋体" w:hAnsi="宋体"/>
          <w:szCs w:val="21"/>
        </w:rPr>
        <w:t>甲方联合档案接收单位对乙方整理及数字化成果进行分批（以全宗为单位）验收，保证整理及数字化的数量和质量。要求</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10</w:t>
      </w:r>
      <w:r>
        <w:rPr>
          <w:rFonts w:hint="eastAsia" w:ascii="宋体" w:hAnsi="宋体"/>
          <w:color w:val="auto"/>
          <w:szCs w:val="21"/>
          <w:highlight w:val="none"/>
          <w:u w:val="single"/>
        </w:rPr>
        <w:t>日</w:t>
      </w:r>
      <w:r>
        <w:rPr>
          <w:rFonts w:hint="eastAsia" w:ascii="宋体" w:hAnsi="宋体"/>
          <w:color w:val="auto"/>
          <w:szCs w:val="21"/>
          <w:highlight w:val="none"/>
        </w:rPr>
        <w:t>前</w:t>
      </w:r>
      <w:r>
        <w:rPr>
          <w:rFonts w:hint="eastAsia" w:ascii="宋体" w:hAnsi="宋体"/>
          <w:szCs w:val="21"/>
        </w:rPr>
        <w:t>完成总工作量的100%。若未按此进度完成，采购方有权终止合同。在验收中检出的错误，乙方及时予以纠正并再提交甲方及档案接收单位验收。</w:t>
      </w:r>
    </w:p>
    <w:p>
      <w:pPr>
        <w:tabs>
          <w:tab w:val="left" w:pos="567"/>
          <w:tab w:val="left" w:pos="960"/>
        </w:tabs>
        <w:spacing w:line="400" w:lineRule="exact"/>
        <w:rPr>
          <w:rFonts w:ascii="宋体" w:hAnsi="宋体"/>
          <w:szCs w:val="21"/>
        </w:rPr>
      </w:pPr>
      <w:r>
        <w:rPr>
          <w:rFonts w:hint="eastAsia" w:ascii="宋体" w:hAnsi="宋体"/>
          <w:szCs w:val="21"/>
        </w:rPr>
        <w:t>（2）全部档案验收“通过</w:t>
      </w:r>
      <w:r>
        <w:rPr>
          <w:rFonts w:ascii="宋体" w:hAnsi="宋体"/>
          <w:szCs w:val="21"/>
        </w:rPr>
        <w:t>”</w:t>
      </w:r>
      <w:r>
        <w:rPr>
          <w:rFonts w:hint="eastAsia" w:ascii="宋体" w:hAnsi="宋体"/>
          <w:szCs w:val="21"/>
        </w:rPr>
        <w:t>的结论，必须经</w:t>
      </w:r>
      <w:r>
        <w:rPr>
          <w:rFonts w:hint="eastAsia" w:ascii="宋体" w:hAnsi="宋体"/>
          <w:color w:val="auto"/>
          <w:szCs w:val="21"/>
        </w:rPr>
        <w:t>甲方分管领导审核、签字</w:t>
      </w:r>
      <w:r>
        <w:rPr>
          <w:rFonts w:hint="eastAsia" w:ascii="宋体" w:hAnsi="宋体"/>
          <w:szCs w:val="21"/>
        </w:rPr>
        <w:t>后方有效。</w:t>
      </w:r>
    </w:p>
    <w:p>
      <w:pPr>
        <w:tabs>
          <w:tab w:val="left" w:pos="567"/>
          <w:tab w:val="left" w:pos="960"/>
        </w:tabs>
        <w:spacing w:line="400" w:lineRule="exact"/>
        <w:rPr>
          <w:rFonts w:ascii="宋体" w:hAnsi="宋体"/>
          <w:szCs w:val="21"/>
        </w:rPr>
      </w:pPr>
      <w:r>
        <w:rPr>
          <w:rFonts w:hint="eastAsia" w:ascii="宋体" w:hAnsi="宋体"/>
          <w:szCs w:val="21"/>
        </w:rPr>
        <w:t>（3）如全部档案完成后不能通过验收的，视为乙方违约。</w:t>
      </w:r>
    </w:p>
    <w:p>
      <w:pPr>
        <w:tabs>
          <w:tab w:val="left" w:pos="567"/>
          <w:tab w:val="left" w:pos="960"/>
        </w:tabs>
        <w:spacing w:line="400" w:lineRule="exact"/>
        <w:rPr>
          <w:rFonts w:ascii="宋体" w:hAnsi="宋体"/>
          <w:szCs w:val="21"/>
        </w:rPr>
      </w:pPr>
      <w:r>
        <w:rPr>
          <w:rFonts w:hint="eastAsia" w:ascii="宋体" w:hAnsi="宋体"/>
          <w:szCs w:val="21"/>
        </w:rPr>
        <w:t>(十)数据备份</w:t>
      </w:r>
    </w:p>
    <w:p>
      <w:pPr>
        <w:tabs>
          <w:tab w:val="left" w:pos="567"/>
          <w:tab w:val="left" w:pos="960"/>
        </w:tabs>
        <w:spacing w:line="400" w:lineRule="exact"/>
        <w:rPr>
          <w:rFonts w:ascii="宋体" w:hAnsi="宋体"/>
          <w:szCs w:val="21"/>
        </w:rPr>
      </w:pPr>
      <w:r>
        <w:rPr>
          <w:rFonts w:hint="eastAsia" w:ascii="宋体" w:hAnsi="宋体"/>
          <w:szCs w:val="21"/>
        </w:rPr>
        <w:t>1.备份范围：经验收合格的完整数据应及时进行备份。</w:t>
      </w:r>
    </w:p>
    <w:p>
      <w:pPr>
        <w:tabs>
          <w:tab w:val="left" w:pos="567"/>
          <w:tab w:val="left" w:pos="960"/>
        </w:tabs>
        <w:spacing w:line="400" w:lineRule="exact"/>
        <w:rPr>
          <w:rFonts w:ascii="宋体" w:hAnsi="宋体"/>
          <w:szCs w:val="21"/>
        </w:rPr>
      </w:pPr>
      <w:r>
        <w:rPr>
          <w:rFonts w:hint="eastAsia" w:ascii="宋体" w:hAnsi="宋体"/>
          <w:szCs w:val="21"/>
        </w:rPr>
        <w:t>2.备份方式：为保证数据安全，备份载体的选择应多样化，实现多套备份。</w:t>
      </w:r>
    </w:p>
    <w:p>
      <w:pPr>
        <w:tabs>
          <w:tab w:val="left" w:pos="567"/>
          <w:tab w:val="left" w:pos="960"/>
        </w:tabs>
        <w:spacing w:line="400" w:lineRule="exact"/>
        <w:ind w:left="210" w:hanging="210" w:hangingChars="100"/>
        <w:rPr>
          <w:rFonts w:ascii="宋体" w:hAnsi="宋体"/>
          <w:szCs w:val="21"/>
        </w:rPr>
      </w:pPr>
      <w:r>
        <w:rPr>
          <w:rFonts w:hint="eastAsia" w:ascii="宋体" w:hAnsi="宋体"/>
          <w:szCs w:val="21"/>
        </w:rPr>
        <w:t>3.数据检验：备份数据也应进行检验。备份数据的检验的内容主要包括备份数据能否打开、数据信息是否完整、文件数量是否准确等。</w:t>
      </w:r>
    </w:p>
    <w:p>
      <w:pPr>
        <w:tabs>
          <w:tab w:val="left" w:pos="567"/>
          <w:tab w:val="left" w:pos="960"/>
        </w:tabs>
        <w:spacing w:line="400" w:lineRule="exact"/>
        <w:rPr>
          <w:rFonts w:ascii="宋体" w:hAnsi="宋体"/>
          <w:szCs w:val="21"/>
        </w:rPr>
      </w:pPr>
      <w:r>
        <w:rPr>
          <w:rFonts w:hint="eastAsia" w:ascii="宋体" w:hAnsi="宋体"/>
          <w:szCs w:val="21"/>
        </w:rPr>
        <w:t>4.备份标签：数据备份后应在相应的备份介质上做好标签，以便查找和管理。</w:t>
      </w:r>
    </w:p>
    <w:p>
      <w:pPr>
        <w:tabs>
          <w:tab w:val="left" w:pos="567"/>
          <w:tab w:val="left" w:pos="960"/>
        </w:tabs>
        <w:spacing w:line="400" w:lineRule="exact"/>
        <w:rPr>
          <w:rFonts w:ascii="宋体" w:hAnsi="宋体"/>
          <w:szCs w:val="21"/>
        </w:rPr>
      </w:pPr>
      <w:r>
        <w:rPr>
          <w:rFonts w:hint="eastAsia" w:ascii="宋体" w:hAnsi="宋体"/>
          <w:szCs w:val="21"/>
        </w:rPr>
        <w:t>（十一）服务要求</w:t>
      </w:r>
    </w:p>
    <w:p>
      <w:pPr>
        <w:tabs>
          <w:tab w:val="left" w:pos="567"/>
          <w:tab w:val="left" w:pos="960"/>
        </w:tabs>
        <w:spacing w:line="400" w:lineRule="exact"/>
        <w:ind w:left="210" w:hanging="210" w:hangingChars="100"/>
        <w:rPr>
          <w:rFonts w:ascii="宋体" w:hAnsi="宋体"/>
          <w:szCs w:val="21"/>
        </w:rPr>
      </w:pPr>
      <w:r>
        <w:rPr>
          <w:rFonts w:hint="eastAsia" w:ascii="宋体" w:hAnsi="宋体"/>
          <w:szCs w:val="21"/>
        </w:rPr>
        <w:t>1.服务商（成交单位）需提供合理、科学的实施方案和过程监管措施，并在实际工作过程中严格执行，方案内容包括但不限于现场人员管理、工作分配、工作日志等。</w:t>
      </w:r>
    </w:p>
    <w:p>
      <w:pPr>
        <w:tabs>
          <w:tab w:val="left" w:pos="567"/>
          <w:tab w:val="left" w:pos="960"/>
        </w:tabs>
        <w:spacing w:line="400" w:lineRule="exact"/>
        <w:rPr>
          <w:rFonts w:hint="eastAsia" w:ascii="宋体" w:hAnsi="宋体"/>
          <w:szCs w:val="21"/>
        </w:rPr>
      </w:pPr>
      <w:r>
        <w:rPr>
          <w:rFonts w:hint="eastAsia" w:ascii="宋体" w:hAnsi="宋体"/>
          <w:szCs w:val="21"/>
        </w:rPr>
        <w:t>2.成交单位在工作中必须与采购单位做好档案的安全交接，并有记录。</w:t>
      </w:r>
    </w:p>
    <w:p>
      <w:pPr>
        <w:pStyle w:val="2"/>
        <w:ind w:left="0" w:leftChars="0" w:firstLine="0" w:firstLineChars="0"/>
        <w:rPr>
          <w:rFonts w:hint="default" w:eastAsia="宋体"/>
          <w:color w:val="auto"/>
          <w:sz w:val="21"/>
          <w:szCs w:val="21"/>
          <w:lang w:val="en-US" w:eastAsia="zh-CN"/>
        </w:rPr>
      </w:pPr>
      <w:r>
        <w:rPr>
          <w:rFonts w:hint="eastAsia" w:ascii="宋体" w:hAnsi="宋体"/>
          <w:color w:val="auto"/>
          <w:sz w:val="21"/>
          <w:szCs w:val="21"/>
          <w:lang w:val="en-US" w:eastAsia="zh-CN"/>
        </w:rPr>
        <w:t>3.负责免费培训档案员对本系统的使用。</w:t>
      </w:r>
    </w:p>
    <w:p>
      <w:pPr>
        <w:tabs>
          <w:tab w:val="left" w:pos="567"/>
          <w:tab w:val="left" w:pos="960"/>
        </w:tabs>
        <w:spacing w:line="400" w:lineRule="exact"/>
        <w:rPr>
          <w:rFonts w:ascii="宋体" w:hAnsi="宋体"/>
          <w:szCs w:val="21"/>
        </w:rPr>
      </w:pPr>
      <w:r>
        <w:rPr>
          <w:rFonts w:hint="eastAsia" w:ascii="宋体" w:hAnsi="宋体"/>
          <w:szCs w:val="21"/>
        </w:rPr>
        <w:t>（十二）质量要求、验收标准：</w:t>
      </w:r>
    </w:p>
    <w:p>
      <w:pPr>
        <w:tabs>
          <w:tab w:val="left" w:pos="567"/>
          <w:tab w:val="left" w:pos="960"/>
        </w:tabs>
        <w:spacing w:line="400" w:lineRule="exact"/>
        <w:rPr>
          <w:rFonts w:ascii="宋体" w:hAnsi="宋体"/>
          <w:szCs w:val="21"/>
        </w:rPr>
      </w:pPr>
      <w:r>
        <w:rPr>
          <w:rFonts w:hint="eastAsia" w:ascii="宋体" w:hAnsi="宋体"/>
          <w:szCs w:val="21"/>
        </w:rPr>
        <w:t>1.响应供应商成交后提供货物及服务均为按国家规格条例生产的合格正规产品、符合设计规范要求。</w:t>
      </w:r>
    </w:p>
    <w:p>
      <w:pPr>
        <w:tabs>
          <w:tab w:val="left" w:pos="567"/>
          <w:tab w:val="left" w:pos="960"/>
        </w:tabs>
        <w:spacing w:line="400" w:lineRule="exact"/>
        <w:ind w:left="210" w:hanging="210" w:hangingChars="100"/>
        <w:rPr>
          <w:rFonts w:ascii="宋体" w:hAnsi="宋体"/>
          <w:szCs w:val="21"/>
        </w:rPr>
      </w:pPr>
      <w:r>
        <w:rPr>
          <w:rFonts w:hint="eastAsia" w:ascii="宋体" w:hAnsi="宋体"/>
          <w:szCs w:val="21"/>
        </w:rPr>
        <w:t>2.应能保证所提供货物、服务涉及到的知识产权是合法取得，并享有完整的知识产权，不会因为需方的使用而被责令停止使用、追偿或要求赔偿损失，如出现此情况，一切经济和法律责任均由供方承担。</w:t>
      </w:r>
    </w:p>
    <w:p>
      <w:pPr>
        <w:tabs>
          <w:tab w:val="left" w:pos="567"/>
          <w:tab w:val="left" w:pos="960"/>
        </w:tabs>
        <w:spacing w:line="400" w:lineRule="exact"/>
        <w:rPr>
          <w:rFonts w:ascii="宋体" w:hAnsi="宋体"/>
          <w:szCs w:val="21"/>
          <w:highlight w:val="none"/>
        </w:rPr>
      </w:pPr>
      <w:r>
        <w:rPr>
          <w:rFonts w:hint="eastAsia" w:ascii="宋体" w:hAnsi="宋体"/>
          <w:szCs w:val="21"/>
        </w:rPr>
        <w:t>（十三）</w:t>
      </w:r>
      <w:r>
        <w:rPr>
          <w:rFonts w:hint="eastAsia" w:ascii="宋体" w:hAnsi="宋体"/>
          <w:szCs w:val="21"/>
          <w:highlight w:val="none"/>
        </w:rPr>
        <w:t>磋商响应总报价：</w:t>
      </w:r>
    </w:p>
    <w:p>
      <w:pPr>
        <w:tabs>
          <w:tab w:val="left" w:pos="540"/>
          <w:tab w:val="left" w:pos="960"/>
        </w:tabs>
        <w:spacing w:line="400" w:lineRule="exact"/>
        <w:ind w:firstLine="420" w:firstLineChars="200"/>
        <w:rPr>
          <w:rFonts w:ascii="宋体" w:hAnsi="宋体"/>
          <w:szCs w:val="21"/>
          <w:highlight w:val="none"/>
        </w:rPr>
      </w:pPr>
      <w:r>
        <w:rPr>
          <w:rFonts w:hint="eastAsia" w:ascii="宋体" w:hAnsi="宋体"/>
          <w:szCs w:val="21"/>
          <w:highlight w:val="none"/>
        </w:rPr>
        <w:t>包括完成每页新沂市</w:t>
      </w:r>
      <w:r>
        <w:rPr>
          <w:rFonts w:hint="eastAsia" w:ascii="宋体" w:hAnsi="宋体"/>
          <w:szCs w:val="21"/>
          <w:highlight w:val="none"/>
          <w:lang w:eastAsia="zh-CN"/>
        </w:rPr>
        <w:t>公共资源交易中心</w:t>
      </w:r>
      <w:r>
        <w:rPr>
          <w:rFonts w:hint="eastAsia" w:ascii="宋体" w:hAnsi="宋体"/>
          <w:szCs w:val="21"/>
          <w:highlight w:val="none"/>
        </w:rPr>
        <w:t>档案整理及数字化服务项目服务的档案前期检查、整理、排序、编号、目录打印、档案扫描、图像存储、条目核对完善、PDF制作、数据验收、数据提交等以及管理、设备、耗材、税费、培训、售后服务、免费维护等费用、人工费、差旅食宿费及其它辅助费用、零部件的更换、系统维护、管理、保险、利润、税金、政策性文件规定及合同包含的所有风险、责任等各项应有费用。</w:t>
      </w:r>
    </w:p>
    <w:p>
      <w:pPr>
        <w:tabs>
          <w:tab w:val="left" w:pos="540"/>
          <w:tab w:val="left" w:pos="960"/>
        </w:tabs>
        <w:spacing w:line="400" w:lineRule="exact"/>
        <w:rPr>
          <w:rFonts w:ascii="宋体" w:hAnsi="宋体"/>
          <w:b/>
          <w:szCs w:val="21"/>
        </w:rPr>
      </w:pPr>
      <w:r>
        <w:rPr>
          <w:rFonts w:hint="eastAsia" w:ascii="宋体" w:hAnsi="宋体"/>
          <w:b/>
          <w:szCs w:val="21"/>
        </w:rPr>
        <w:t>四、</w:t>
      </w:r>
      <w:r>
        <w:rPr>
          <w:rFonts w:ascii="宋体" w:hAnsi="宋体"/>
          <w:b/>
          <w:szCs w:val="21"/>
        </w:rPr>
        <w:t>磋商响应文件的组成及要求：</w:t>
      </w:r>
    </w:p>
    <w:p>
      <w:pPr>
        <w:spacing w:line="400" w:lineRule="exact"/>
        <w:rPr>
          <w:rFonts w:ascii="宋体" w:hAnsi="宋体"/>
          <w:szCs w:val="21"/>
        </w:rPr>
      </w:pPr>
      <w:r>
        <w:rPr>
          <w:rFonts w:ascii="宋体" w:hAnsi="宋体"/>
          <w:szCs w:val="21"/>
        </w:rPr>
        <w:t>（一）文件组成：</w:t>
      </w:r>
    </w:p>
    <w:p>
      <w:pPr>
        <w:tabs>
          <w:tab w:val="left" w:pos="540"/>
        </w:tabs>
        <w:spacing w:line="400" w:lineRule="exact"/>
        <w:rPr>
          <w:rFonts w:ascii="宋体" w:hAnsi="宋体"/>
          <w:bCs/>
          <w:szCs w:val="21"/>
        </w:rPr>
      </w:pPr>
      <w:r>
        <w:rPr>
          <w:rFonts w:hint="eastAsia" w:ascii="宋体" w:hAnsi="宋体"/>
          <w:bCs/>
          <w:szCs w:val="21"/>
        </w:rPr>
        <w:t>1.磋商响应函；</w:t>
      </w:r>
    </w:p>
    <w:p>
      <w:pPr>
        <w:tabs>
          <w:tab w:val="left" w:pos="540"/>
        </w:tabs>
        <w:spacing w:line="400" w:lineRule="exact"/>
        <w:rPr>
          <w:rFonts w:ascii="宋体" w:hAnsi="宋体"/>
          <w:bCs/>
          <w:szCs w:val="21"/>
        </w:rPr>
      </w:pPr>
      <w:r>
        <w:rPr>
          <w:rFonts w:hint="eastAsia" w:ascii="宋体" w:hAnsi="宋体"/>
          <w:bCs/>
          <w:szCs w:val="21"/>
        </w:rPr>
        <w:t>2.磋商报价表；</w:t>
      </w:r>
    </w:p>
    <w:p>
      <w:pPr>
        <w:tabs>
          <w:tab w:val="left" w:pos="540"/>
        </w:tabs>
        <w:spacing w:line="400" w:lineRule="exact"/>
        <w:rPr>
          <w:rFonts w:ascii="宋体" w:hAnsi="宋体"/>
          <w:bCs/>
          <w:szCs w:val="21"/>
        </w:rPr>
      </w:pPr>
      <w:r>
        <w:rPr>
          <w:rFonts w:hint="eastAsia" w:ascii="宋体" w:hAnsi="宋体"/>
          <w:bCs/>
          <w:szCs w:val="21"/>
        </w:rPr>
        <w:t>3.关于资格文件的声明函；</w:t>
      </w:r>
    </w:p>
    <w:p>
      <w:pPr>
        <w:tabs>
          <w:tab w:val="left" w:pos="540"/>
        </w:tabs>
        <w:spacing w:line="400" w:lineRule="exact"/>
        <w:rPr>
          <w:rFonts w:ascii="宋体" w:hAnsi="宋体"/>
          <w:bCs/>
          <w:szCs w:val="21"/>
        </w:rPr>
      </w:pPr>
      <w:r>
        <w:rPr>
          <w:rFonts w:hint="eastAsia" w:ascii="宋体" w:hAnsi="宋体"/>
          <w:bCs/>
          <w:szCs w:val="21"/>
        </w:rPr>
        <w:t>4.法定代表人身份证复印件；</w:t>
      </w:r>
    </w:p>
    <w:p>
      <w:pPr>
        <w:tabs>
          <w:tab w:val="left" w:pos="540"/>
        </w:tabs>
        <w:spacing w:line="400" w:lineRule="exact"/>
        <w:rPr>
          <w:rFonts w:ascii="宋体" w:hAnsi="宋体"/>
          <w:bCs/>
          <w:szCs w:val="21"/>
        </w:rPr>
      </w:pPr>
      <w:r>
        <w:rPr>
          <w:rFonts w:hint="eastAsia" w:ascii="宋体" w:hAnsi="宋体"/>
          <w:bCs/>
          <w:szCs w:val="21"/>
        </w:rPr>
        <w:t>5.法定代表人授权委托书原件、供应商代理人身份证复印件（如有授权）；</w:t>
      </w:r>
    </w:p>
    <w:p>
      <w:pPr>
        <w:tabs>
          <w:tab w:val="left" w:pos="540"/>
        </w:tabs>
        <w:spacing w:line="400" w:lineRule="exact"/>
        <w:rPr>
          <w:rFonts w:ascii="宋体" w:hAnsi="宋体"/>
          <w:szCs w:val="21"/>
        </w:rPr>
      </w:pPr>
      <w:r>
        <w:rPr>
          <w:rFonts w:hint="eastAsia" w:ascii="宋体" w:hAnsi="宋体"/>
          <w:bCs/>
          <w:szCs w:val="21"/>
        </w:rPr>
        <w:t>6.供应商</w:t>
      </w:r>
      <w:r>
        <w:rPr>
          <w:rFonts w:hint="eastAsia" w:ascii="宋体" w:hAnsi="宋体"/>
          <w:szCs w:val="21"/>
        </w:rPr>
        <w:t>参加政府采购活动应当具备的条件（提供复</w:t>
      </w:r>
      <w:r>
        <w:rPr>
          <w:rFonts w:hint="eastAsia" w:ascii="宋体" w:hAnsi="宋体"/>
          <w:bCs/>
          <w:szCs w:val="21"/>
        </w:rPr>
        <w:t>印件，加盖公章）：</w:t>
      </w:r>
    </w:p>
    <w:p>
      <w:pPr>
        <w:tabs>
          <w:tab w:val="left" w:pos="567"/>
        </w:tabs>
        <w:spacing w:line="400" w:lineRule="exact"/>
        <w:rPr>
          <w:rFonts w:ascii="宋体" w:hAnsi="宋体"/>
          <w:szCs w:val="21"/>
        </w:rPr>
      </w:pPr>
      <w:r>
        <w:rPr>
          <w:rFonts w:hint="eastAsia" w:ascii="宋体" w:hAnsi="宋体"/>
          <w:szCs w:val="21"/>
        </w:rPr>
        <w:t>（1）具有独立承担民事责任的能力（提供法人或者其他组织的营业执照等证明文件）；</w:t>
      </w:r>
    </w:p>
    <w:p>
      <w:pPr>
        <w:tabs>
          <w:tab w:val="left" w:pos="567"/>
        </w:tabs>
        <w:spacing w:line="400" w:lineRule="exact"/>
        <w:ind w:left="525" w:hanging="525" w:hangingChars="250"/>
        <w:rPr>
          <w:rFonts w:ascii="宋体" w:hAnsi="宋体"/>
          <w:szCs w:val="21"/>
        </w:rPr>
      </w:pPr>
      <w:r>
        <w:rPr>
          <w:rFonts w:hint="eastAsia" w:ascii="宋体" w:hAnsi="宋体"/>
          <w:szCs w:val="21"/>
        </w:rPr>
        <w:t>（2）具有良好的商业信誉和健全的财务会计制度（提供参加本次政府采购前的财务报表，成立未满一个月的单位提供银行出具的资信证明）；</w:t>
      </w:r>
    </w:p>
    <w:p>
      <w:pPr>
        <w:tabs>
          <w:tab w:val="left" w:pos="567"/>
        </w:tabs>
        <w:spacing w:line="400" w:lineRule="exact"/>
        <w:ind w:left="525" w:hanging="525" w:hangingChars="250"/>
        <w:rPr>
          <w:rFonts w:ascii="宋体" w:hAnsi="宋体"/>
          <w:szCs w:val="21"/>
        </w:rPr>
      </w:pPr>
      <w:r>
        <w:rPr>
          <w:rFonts w:hint="eastAsia" w:ascii="宋体" w:hAnsi="宋体"/>
          <w:szCs w:val="21"/>
        </w:rPr>
        <w:t>（3）具有履行合同所必需的设备和专业技术能力（企业法人性质的政府采购供应商应在经工商管理部门核准登记注册的经营范围内参与经营活动，提供营业执照或其他证明材料；提供《具备履行合同所必需的设备和专业技术能力的书面声明》（结合采购需求，格式自拟））；</w:t>
      </w:r>
    </w:p>
    <w:p>
      <w:pPr>
        <w:tabs>
          <w:tab w:val="left" w:pos="567"/>
        </w:tabs>
        <w:spacing w:line="400" w:lineRule="exact"/>
        <w:rPr>
          <w:rFonts w:ascii="宋体" w:hAnsi="宋体"/>
          <w:szCs w:val="21"/>
        </w:rPr>
      </w:pPr>
      <w:r>
        <w:rPr>
          <w:rFonts w:hint="eastAsia" w:ascii="宋体" w:hAnsi="宋体"/>
          <w:szCs w:val="21"/>
        </w:rPr>
        <w:t>（4）有依法缴纳税收和社会保障资金的良好记录</w:t>
      </w:r>
      <w:r>
        <w:rPr>
          <w:rFonts w:ascii="宋体" w:hAnsi="宋体"/>
          <w:szCs w:val="21"/>
        </w:rPr>
        <w:t>[</w:t>
      </w:r>
      <w:r>
        <w:rPr>
          <w:rFonts w:hint="eastAsia" w:ascii="宋体" w:hAnsi="宋体"/>
          <w:szCs w:val="21"/>
        </w:rPr>
        <w:t>提供参加本次政府采购前一年内（至少一个月的）的依法缴纳税收和社会保障资金的相关材料；</w:t>
      </w:r>
    </w:p>
    <w:p>
      <w:pPr>
        <w:tabs>
          <w:tab w:val="left" w:pos="567"/>
        </w:tabs>
        <w:spacing w:line="400" w:lineRule="exact"/>
        <w:rPr>
          <w:rFonts w:ascii="宋体" w:hAnsi="宋体"/>
          <w:szCs w:val="21"/>
        </w:rPr>
      </w:pPr>
      <w:r>
        <w:rPr>
          <w:rFonts w:hint="eastAsia" w:ascii="宋体" w:hAnsi="宋体"/>
          <w:szCs w:val="21"/>
        </w:rPr>
        <w:t>（5）参加政府采购活动前三年内，在经营活动中没有出现重大违法记录（提供书面声明）。</w:t>
      </w:r>
    </w:p>
    <w:p>
      <w:pPr>
        <w:tabs>
          <w:tab w:val="left" w:pos="540"/>
        </w:tabs>
        <w:spacing w:line="400" w:lineRule="exact"/>
        <w:rPr>
          <w:rFonts w:ascii="宋体" w:hAnsi="宋体"/>
          <w:bCs/>
          <w:szCs w:val="21"/>
        </w:rPr>
      </w:pPr>
      <w:r>
        <w:rPr>
          <w:rFonts w:hint="eastAsia" w:ascii="宋体" w:hAnsi="宋体"/>
          <w:bCs/>
          <w:szCs w:val="21"/>
        </w:rPr>
        <w:t>7.中小企业、监狱企业、残疾人企业的相关材料（如属）；</w:t>
      </w:r>
    </w:p>
    <w:p>
      <w:pPr>
        <w:tabs>
          <w:tab w:val="left" w:pos="540"/>
        </w:tabs>
        <w:spacing w:line="400" w:lineRule="exact"/>
        <w:rPr>
          <w:rFonts w:ascii="宋体" w:hAnsi="宋体"/>
          <w:bCs/>
          <w:szCs w:val="21"/>
        </w:rPr>
      </w:pPr>
      <w:r>
        <w:rPr>
          <w:rFonts w:hint="eastAsia" w:ascii="宋体" w:hAnsi="宋体"/>
          <w:bCs/>
          <w:szCs w:val="21"/>
        </w:rPr>
        <w:t>8.新沂市</w:t>
      </w:r>
      <w:r>
        <w:rPr>
          <w:rFonts w:hint="eastAsia" w:ascii="宋体" w:hAnsi="宋体"/>
          <w:bCs/>
          <w:szCs w:val="21"/>
          <w:lang w:eastAsia="zh-CN"/>
        </w:rPr>
        <w:t>公共资源交易中心</w:t>
      </w:r>
      <w:r>
        <w:rPr>
          <w:rFonts w:hint="eastAsia" w:ascii="宋体" w:hAnsi="宋体"/>
          <w:bCs/>
          <w:szCs w:val="21"/>
        </w:rPr>
        <w:t>档案整理及数字化服务项目实施具体方案；</w:t>
      </w:r>
    </w:p>
    <w:p>
      <w:pPr>
        <w:tabs>
          <w:tab w:val="left" w:pos="540"/>
        </w:tabs>
        <w:spacing w:line="400" w:lineRule="exact"/>
        <w:rPr>
          <w:rFonts w:ascii="宋体" w:hAnsi="宋体"/>
          <w:bCs/>
          <w:szCs w:val="21"/>
        </w:rPr>
      </w:pPr>
      <w:r>
        <w:rPr>
          <w:rFonts w:hint="eastAsia" w:ascii="宋体" w:hAnsi="宋体"/>
          <w:bCs/>
          <w:szCs w:val="21"/>
        </w:rPr>
        <w:t>9.其他需供应商对本次响应的详细说明；</w:t>
      </w:r>
    </w:p>
    <w:p>
      <w:pPr>
        <w:tabs>
          <w:tab w:val="left" w:pos="540"/>
        </w:tabs>
        <w:spacing w:line="400" w:lineRule="exact"/>
        <w:rPr>
          <w:rFonts w:ascii="宋体" w:hAnsi="宋体"/>
          <w:bCs/>
          <w:szCs w:val="21"/>
        </w:rPr>
      </w:pPr>
      <w:r>
        <w:rPr>
          <w:rFonts w:hint="eastAsia" w:ascii="宋体" w:hAnsi="宋体"/>
          <w:bCs/>
          <w:szCs w:val="21"/>
        </w:rPr>
        <w:t>10.国家法律、法规所规定的其他资料；</w:t>
      </w:r>
    </w:p>
    <w:p>
      <w:pPr>
        <w:tabs>
          <w:tab w:val="left" w:pos="540"/>
        </w:tabs>
        <w:spacing w:line="400" w:lineRule="exact"/>
        <w:rPr>
          <w:rFonts w:ascii="宋体" w:hAnsi="宋体"/>
          <w:szCs w:val="21"/>
        </w:rPr>
      </w:pPr>
      <w:r>
        <w:rPr>
          <w:rFonts w:hint="eastAsia" w:ascii="宋体" w:hAnsi="宋体"/>
          <w:bCs/>
          <w:szCs w:val="21"/>
        </w:rPr>
        <w:t>11.与本</w:t>
      </w:r>
      <w:r>
        <w:rPr>
          <w:rFonts w:hint="eastAsia" w:ascii="宋体" w:hAnsi="宋体"/>
          <w:szCs w:val="21"/>
        </w:rPr>
        <w:t>次磋商采购相关的其他资料。</w:t>
      </w:r>
    </w:p>
    <w:p>
      <w:pPr>
        <w:spacing w:line="400" w:lineRule="exact"/>
        <w:rPr>
          <w:rFonts w:ascii="宋体" w:hAnsi="宋体"/>
          <w:b/>
          <w:bCs/>
          <w:szCs w:val="21"/>
        </w:rPr>
      </w:pPr>
      <w:r>
        <w:rPr>
          <w:rFonts w:ascii="宋体" w:hAnsi="宋体"/>
          <w:b/>
          <w:bCs/>
          <w:szCs w:val="21"/>
        </w:rPr>
        <w:t>（二）文件要求</w:t>
      </w:r>
      <w:r>
        <w:rPr>
          <w:rFonts w:hint="eastAsia" w:ascii="宋体" w:hAnsi="宋体"/>
          <w:b/>
          <w:bCs/>
          <w:szCs w:val="21"/>
          <w:lang w:eastAsia="zh-CN"/>
        </w:rPr>
        <w:t>（实质性要求）</w:t>
      </w:r>
      <w:r>
        <w:rPr>
          <w:rFonts w:ascii="宋体" w:hAnsi="宋体"/>
          <w:b/>
          <w:bCs/>
          <w:szCs w:val="21"/>
        </w:rPr>
        <w:t>：</w:t>
      </w:r>
    </w:p>
    <w:p>
      <w:pPr>
        <w:tabs>
          <w:tab w:val="left" w:pos="540"/>
        </w:tabs>
        <w:spacing w:line="400" w:lineRule="exact"/>
        <w:rPr>
          <w:rFonts w:ascii="宋体" w:hAnsi="宋体"/>
          <w:b/>
          <w:bCs/>
          <w:szCs w:val="21"/>
        </w:rPr>
      </w:pPr>
      <w:r>
        <w:rPr>
          <w:rFonts w:hint="eastAsia" w:ascii="宋体" w:hAnsi="宋体"/>
          <w:b/>
          <w:bCs/>
          <w:szCs w:val="21"/>
        </w:rPr>
        <w:t>1.</w:t>
      </w:r>
      <w:r>
        <w:rPr>
          <w:rFonts w:ascii="宋体" w:hAnsi="宋体"/>
          <w:b/>
          <w:bCs/>
          <w:szCs w:val="21"/>
        </w:rPr>
        <w:t>响应文件数量：一本正本，二本副本，需成册；</w:t>
      </w:r>
    </w:p>
    <w:p>
      <w:pPr>
        <w:tabs>
          <w:tab w:val="left" w:pos="540"/>
        </w:tabs>
        <w:spacing w:line="400" w:lineRule="exact"/>
        <w:ind w:left="210" w:hanging="211" w:hangingChars="100"/>
        <w:rPr>
          <w:rFonts w:ascii="宋体" w:hAnsi="宋体"/>
          <w:b/>
          <w:bCs/>
          <w:szCs w:val="21"/>
        </w:rPr>
      </w:pPr>
      <w:r>
        <w:rPr>
          <w:rFonts w:hint="eastAsia" w:ascii="宋体" w:hAnsi="宋体"/>
          <w:b/>
          <w:bCs/>
          <w:szCs w:val="21"/>
        </w:rPr>
        <w:t>2.</w:t>
      </w:r>
      <w:r>
        <w:rPr>
          <w:rFonts w:ascii="宋体" w:hAnsi="宋体"/>
          <w:b/>
          <w:bCs/>
          <w:szCs w:val="21"/>
        </w:rPr>
        <w:t>磋商响应文件须</w:t>
      </w:r>
      <w:r>
        <w:rPr>
          <w:rFonts w:hint="eastAsia" w:ascii="宋体" w:hAnsi="宋体"/>
          <w:b/>
          <w:bCs/>
          <w:szCs w:val="21"/>
        </w:rPr>
        <w:t>由</w:t>
      </w:r>
      <w:r>
        <w:rPr>
          <w:rFonts w:ascii="宋体" w:hAnsi="宋体"/>
          <w:b/>
          <w:bCs/>
          <w:szCs w:val="21"/>
        </w:rPr>
        <w:t>供应商</w:t>
      </w:r>
      <w:r>
        <w:rPr>
          <w:rFonts w:hint="eastAsia" w:ascii="宋体" w:hAnsi="宋体"/>
          <w:b/>
          <w:bCs/>
          <w:szCs w:val="21"/>
        </w:rPr>
        <w:t>的</w:t>
      </w:r>
      <w:r>
        <w:rPr>
          <w:rFonts w:ascii="宋体" w:hAnsi="宋体"/>
          <w:b/>
          <w:bCs/>
          <w:szCs w:val="21"/>
        </w:rPr>
        <w:t>法定代表人签章或其授权代表签字或盖公章，以上文件资料</w:t>
      </w:r>
      <w:r>
        <w:rPr>
          <w:rFonts w:hint="eastAsia" w:ascii="宋体" w:hAnsi="宋体"/>
          <w:b/>
          <w:bCs/>
          <w:szCs w:val="21"/>
        </w:rPr>
        <w:t>（序号1-8）</w:t>
      </w:r>
      <w:r>
        <w:rPr>
          <w:rFonts w:ascii="宋体" w:hAnsi="宋体"/>
          <w:b/>
          <w:bCs/>
          <w:szCs w:val="21"/>
        </w:rPr>
        <w:t>须加盖磋商响应单位公章；</w:t>
      </w:r>
    </w:p>
    <w:p>
      <w:pPr>
        <w:tabs>
          <w:tab w:val="left" w:pos="540"/>
        </w:tabs>
        <w:spacing w:line="400" w:lineRule="exact"/>
        <w:rPr>
          <w:rFonts w:ascii="宋体" w:hAnsi="宋体"/>
          <w:b/>
          <w:bCs/>
          <w:szCs w:val="21"/>
        </w:rPr>
      </w:pPr>
      <w:r>
        <w:rPr>
          <w:rFonts w:hint="eastAsia" w:ascii="宋体" w:hAnsi="宋体"/>
          <w:b/>
          <w:bCs/>
          <w:szCs w:val="21"/>
        </w:rPr>
        <w:t>3.</w:t>
      </w:r>
      <w:r>
        <w:rPr>
          <w:rFonts w:ascii="宋体" w:hAnsi="宋体"/>
          <w:b/>
          <w:bCs/>
          <w:szCs w:val="21"/>
        </w:rPr>
        <w:t>磋商响应文件以中文为准；</w:t>
      </w:r>
    </w:p>
    <w:p>
      <w:pPr>
        <w:tabs>
          <w:tab w:val="left" w:pos="540"/>
        </w:tabs>
        <w:spacing w:line="400" w:lineRule="exact"/>
        <w:ind w:left="210" w:hanging="211" w:hangingChars="100"/>
        <w:rPr>
          <w:rFonts w:ascii="宋体" w:hAnsi="宋体"/>
          <w:b/>
          <w:bCs/>
          <w:szCs w:val="21"/>
        </w:rPr>
      </w:pPr>
      <w:r>
        <w:rPr>
          <w:rFonts w:hint="eastAsia" w:ascii="宋体" w:hAnsi="宋体"/>
          <w:b/>
          <w:bCs/>
          <w:szCs w:val="21"/>
        </w:rPr>
        <w:t>4.</w:t>
      </w:r>
      <w:r>
        <w:rPr>
          <w:rFonts w:ascii="宋体" w:hAnsi="宋体"/>
          <w:b/>
          <w:bCs/>
          <w:szCs w:val="21"/>
        </w:rPr>
        <w:t>磋商响应文件须装袋密封，封口处须</w:t>
      </w:r>
      <w:r>
        <w:rPr>
          <w:rFonts w:hint="eastAsia" w:ascii="宋体" w:hAnsi="宋体"/>
          <w:b/>
          <w:bCs/>
          <w:szCs w:val="21"/>
        </w:rPr>
        <w:t>加</w:t>
      </w:r>
      <w:r>
        <w:rPr>
          <w:rFonts w:ascii="宋体" w:hAnsi="宋体"/>
          <w:b/>
          <w:bCs/>
          <w:szCs w:val="21"/>
        </w:rPr>
        <w:t>盖公章，封面应注明</w:t>
      </w:r>
      <w:r>
        <w:rPr>
          <w:rFonts w:hint="eastAsia" w:ascii="宋体" w:hAnsi="宋体"/>
          <w:b/>
          <w:bCs/>
          <w:szCs w:val="21"/>
        </w:rPr>
        <w:t>采购</w:t>
      </w:r>
      <w:r>
        <w:rPr>
          <w:rFonts w:ascii="宋体" w:hAnsi="宋体"/>
          <w:b/>
          <w:bCs/>
          <w:szCs w:val="21"/>
        </w:rPr>
        <w:t>项目名称、采购编号和供应商单位名称等。</w:t>
      </w:r>
    </w:p>
    <w:p>
      <w:pPr>
        <w:tabs>
          <w:tab w:val="left" w:pos="540"/>
          <w:tab w:val="left" w:pos="960"/>
        </w:tabs>
        <w:spacing w:line="400" w:lineRule="exact"/>
        <w:rPr>
          <w:rFonts w:ascii="宋体" w:hAnsi="宋体"/>
          <w:b/>
          <w:bCs/>
          <w:szCs w:val="21"/>
        </w:rPr>
      </w:pPr>
      <w:r>
        <w:rPr>
          <w:rFonts w:hint="eastAsia" w:ascii="宋体" w:hAnsi="宋体"/>
          <w:b/>
          <w:bCs/>
          <w:szCs w:val="21"/>
        </w:rPr>
        <w:t>五、</w:t>
      </w:r>
      <w:r>
        <w:rPr>
          <w:rFonts w:ascii="宋体" w:hAnsi="宋体"/>
          <w:b/>
          <w:bCs/>
          <w:szCs w:val="21"/>
        </w:rPr>
        <w:t>磋商综合说明：</w:t>
      </w:r>
    </w:p>
    <w:p>
      <w:pPr>
        <w:tabs>
          <w:tab w:val="left" w:pos="567"/>
        </w:tabs>
        <w:spacing w:line="400" w:lineRule="exact"/>
        <w:rPr>
          <w:rFonts w:ascii="宋体" w:hAnsi="宋体"/>
          <w:szCs w:val="21"/>
        </w:rPr>
      </w:pPr>
      <w:r>
        <w:rPr>
          <w:rFonts w:hint="eastAsia" w:ascii="宋体" w:hAnsi="宋体"/>
          <w:szCs w:val="21"/>
        </w:rPr>
        <w:t>1.本项目不接受进口产品。</w:t>
      </w:r>
    </w:p>
    <w:p>
      <w:pPr>
        <w:pStyle w:val="18"/>
        <w:ind w:left="0"/>
        <w:rPr>
          <w:rFonts w:ascii="宋体" w:hAnsi="宋体" w:cs="Times New Roman"/>
          <w:smallCaps w:val="0"/>
          <w:sz w:val="21"/>
          <w:szCs w:val="21"/>
        </w:rPr>
      </w:pPr>
      <w:r>
        <w:rPr>
          <w:rFonts w:hint="eastAsia" w:ascii="宋体" w:hAnsi="宋体" w:cs="Times New Roman"/>
          <w:smallCaps w:val="0"/>
          <w:sz w:val="21"/>
          <w:szCs w:val="21"/>
        </w:rPr>
        <w:t>2.本项目的特定资格要求：</w:t>
      </w:r>
    </w:p>
    <w:p>
      <w:pPr>
        <w:tabs>
          <w:tab w:val="left" w:pos="567"/>
        </w:tabs>
        <w:spacing w:line="400" w:lineRule="exact"/>
        <w:ind w:left="210" w:hanging="210" w:hangingChars="100"/>
        <w:rPr>
          <w:rFonts w:ascii="宋体" w:hAnsi="宋体"/>
          <w:szCs w:val="21"/>
        </w:rPr>
      </w:pPr>
      <w:r>
        <w:rPr>
          <w:rFonts w:hint="eastAsia" w:ascii="宋体" w:hAnsi="宋体"/>
          <w:szCs w:val="21"/>
        </w:rPr>
        <w:t>（1）本项目不接受联合体参与采购活动。</w:t>
      </w:r>
    </w:p>
    <w:p>
      <w:pPr>
        <w:tabs>
          <w:tab w:val="left" w:pos="567"/>
        </w:tabs>
        <w:spacing w:line="400" w:lineRule="exact"/>
        <w:ind w:left="210" w:hanging="210" w:hangingChars="100"/>
        <w:rPr>
          <w:rFonts w:ascii="宋体" w:hAnsi="宋体"/>
          <w:szCs w:val="21"/>
        </w:rPr>
      </w:pPr>
      <w:r>
        <w:rPr>
          <w:rFonts w:hint="eastAsia" w:ascii="宋体" w:hAnsi="宋体"/>
          <w:szCs w:val="21"/>
        </w:rPr>
        <w:t>（2）单位负责人为同一人或者存在直接控股、管理关系的不同供应商，不得参加同一合同项下的政府采购活动。</w:t>
      </w:r>
    </w:p>
    <w:p>
      <w:pPr>
        <w:tabs>
          <w:tab w:val="left" w:pos="567"/>
        </w:tabs>
        <w:spacing w:line="400" w:lineRule="exact"/>
        <w:ind w:left="210" w:hanging="210" w:hangingChars="100"/>
        <w:rPr>
          <w:rFonts w:ascii="宋体" w:hAnsi="宋体"/>
          <w:szCs w:val="21"/>
        </w:rPr>
      </w:pPr>
      <w:r>
        <w:rPr>
          <w:rFonts w:hint="eastAsia" w:ascii="宋体" w:hAnsi="宋体"/>
          <w:szCs w:val="21"/>
        </w:rPr>
        <w:t>（3）为本采购项目提供整体设计、规范编制或者项目管理、监理、检测等服务的供应商，不得再参加本采购项目的采购活动。</w:t>
      </w:r>
    </w:p>
    <w:p>
      <w:pPr>
        <w:tabs>
          <w:tab w:val="left" w:pos="567"/>
        </w:tabs>
        <w:spacing w:line="400" w:lineRule="exact"/>
        <w:ind w:left="210" w:hanging="210" w:hangingChars="100"/>
        <w:rPr>
          <w:rFonts w:ascii="宋体" w:hAnsi="宋体"/>
          <w:szCs w:val="21"/>
        </w:rPr>
      </w:pPr>
      <w:r>
        <w:rPr>
          <w:rFonts w:hint="eastAsia" w:ascii="宋体" w:hAnsi="宋体"/>
          <w:szCs w:val="21"/>
        </w:rPr>
        <w:t>3.</w:t>
      </w:r>
      <w:r>
        <w:rPr>
          <w:rFonts w:ascii="宋体" w:hAnsi="宋体"/>
          <w:szCs w:val="21"/>
        </w:rPr>
        <w:t>本次竞争性磋商不分采购单元，各供应商须对全部内容进行响应，只报其中部分内容的，为无效报价，并不得出现选择性报价。</w:t>
      </w:r>
    </w:p>
    <w:p>
      <w:pPr>
        <w:tabs>
          <w:tab w:val="left" w:pos="567"/>
        </w:tabs>
        <w:spacing w:line="400" w:lineRule="exact"/>
        <w:rPr>
          <w:rFonts w:ascii="宋体" w:hAnsi="宋体"/>
          <w:szCs w:val="21"/>
        </w:rPr>
      </w:pPr>
      <w:r>
        <w:rPr>
          <w:rFonts w:hint="eastAsia" w:ascii="宋体" w:hAnsi="宋体"/>
          <w:szCs w:val="21"/>
        </w:rPr>
        <w:t>4.</w:t>
      </w:r>
      <w:r>
        <w:rPr>
          <w:rFonts w:ascii="宋体" w:hAnsi="宋体"/>
          <w:szCs w:val="21"/>
        </w:rPr>
        <w:t>供应商必须承诺磋商采购文件提出的全部要求，如果其中某些条款不响应时，</w:t>
      </w:r>
      <w:r>
        <w:rPr>
          <w:rFonts w:hint="eastAsia" w:ascii="宋体" w:hAnsi="宋体"/>
          <w:szCs w:val="21"/>
        </w:rPr>
        <w:t>必须</w:t>
      </w:r>
      <w:r>
        <w:rPr>
          <w:rFonts w:ascii="宋体" w:hAnsi="宋体"/>
          <w:szCs w:val="21"/>
        </w:rPr>
        <w:t>在文件中列出。</w:t>
      </w:r>
    </w:p>
    <w:p>
      <w:pPr>
        <w:tabs>
          <w:tab w:val="left" w:pos="567"/>
        </w:tabs>
        <w:spacing w:line="400" w:lineRule="exact"/>
        <w:rPr>
          <w:rFonts w:ascii="宋体" w:hAnsi="宋体"/>
          <w:bCs/>
          <w:szCs w:val="21"/>
        </w:rPr>
      </w:pPr>
      <w:r>
        <w:rPr>
          <w:rFonts w:hint="eastAsia" w:ascii="宋体" w:hAnsi="宋体"/>
          <w:szCs w:val="21"/>
          <w:lang w:val="en-US" w:eastAsia="zh-CN"/>
        </w:rPr>
        <w:t>5</w:t>
      </w:r>
      <w:r>
        <w:rPr>
          <w:rFonts w:hint="eastAsia" w:ascii="宋体" w:hAnsi="宋体"/>
          <w:szCs w:val="21"/>
        </w:rPr>
        <w:t>.质疑</w:t>
      </w:r>
      <w:r>
        <w:rPr>
          <w:rFonts w:hint="eastAsia" w:ascii="宋体" w:hAnsi="宋体"/>
          <w:bCs/>
          <w:szCs w:val="21"/>
        </w:rPr>
        <w:t>事项</w:t>
      </w:r>
    </w:p>
    <w:p>
      <w:pPr>
        <w:tabs>
          <w:tab w:val="left" w:pos="540"/>
        </w:tabs>
        <w:spacing w:line="400" w:lineRule="exact"/>
        <w:ind w:left="420" w:hanging="420" w:hangingChars="200"/>
        <w:rPr>
          <w:rFonts w:ascii="宋体" w:hAnsi="宋体"/>
          <w:bCs/>
          <w:szCs w:val="21"/>
        </w:rPr>
      </w:pPr>
      <w:r>
        <w:rPr>
          <w:rFonts w:hint="eastAsia" w:ascii="宋体" w:hAnsi="宋体"/>
          <w:bCs/>
          <w:szCs w:val="21"/>
        </w:rPr>
        <w:t>（1）供应商认为采购文件、采购过程和中标、成交结果使自己的权益受到损害的，可以在知道或者应知其权益受到损害之日起七个工作日内，根据《政府采购质疑和投诉办法》（中华人民共和国财政部令第94号）向代理机构提出质疑。凡是对采购文件提出质疑的供应商，政府采购网上报名确认单与质疑函一同递交。</w:t>
      </w:r>
    </w:p>
    <w:p>
      <w:pPr>
        <w:tabs>
          <w:tab w:val="left" w:pos="540"/>
        </w:tabs>
        <w:spacing w:line="400" w:lineRule="exact"/>
        <w:ind w:left="525" w:hanging="525" w:hangingChars="250"/>
        <w:rPr>
          <w:rFonts w:ascii="宋体" w:hAnsi="宋体"/>
          <w:bCs/>
          <w:szCs w:val="21"/>
        </w:rPr>
      </w:pPr>
      <w:r>
        <w:rPr>
          <w:rFonts w:hint="eastAsia" w:ascii="宋体" w:hAnsi="宋体"/>
          <w:bCs/>
          <w:szCs w:val="21"/>
        </w:rPr>
        <w:t>（2</w:t>
      </w:r>
      <w:r>
        <w:rPr>
          <w:rFonts w:ascii="宋体" w:hAnsi="宋体"/>
          <w:bCs/>
          <w:szCs w:val="21"/>
        </w:rPr>
        <w:t>）</w:t>
      </w:r>
      <w:r>
        <w:rPr>
          <w:rFonts w:hint="eastAsia" w:ascii="宋体" w:hAnsi="宋体"/>
          <w:bCs/>
          <w:szCs w:val="21"/>
        </w:rPr>
        <w:t>提出质疑的供应商应当是参与所质疑项目采购活动的供应商。供应商应当在法定质疑期内一次性提出针对同一采购程序环节的质疑。</w:t>
      </w:r>
    </w:p>
    <w:p>
      <w:pPr>
        <w:tabs>
          <w:tab w:val="left" w:pos="540"/>
        </w:tabs>
        <w:spacing w:line="400" w:lineRule="exact"/>
        <w:ind w:firstLine="525" w:firstLineChars="250"/>
        <w:rPr>
          <w:rFonts w:ascii="宋体" w:hAnsi="宋体"/>
          <w:bCs/>
          <w:szCs w:val="21"/>
        </w:rPr>
      </w:pPr>
      <w:r>
        <w:rPr>
          <w:rFonts w:hint="eastAsia" w:ascii="宋体" w:hAnsi="宋体"/>
          <w:bCs/>
          <w:szCs w:val="21"/>
        </w:rPr>
        <w:t>接收质疑函的方式为书面形式（当场送达或邮寄方式）。</w:t>
      </w:r>
    </w:p>
    <w:p>
      <w:pPr>
        <w:tabs>
          <w:tab w:val="left" w:pos="540"/>
        </w:tabs>
        <w:spacing w:line="400" w:lineRule="exact"/>
        <w:ind w:firstLine="525" w:firstLineChars="250"/>
        <w:rPr>
          <w:rFonts w:ascii="宋体" w:hAnsi="宋体"/>
          <w:bCs/>
          <w:szCs w:val="21"/>
          <w:highlight w:val="none"/>
        </w:rPr>
      </w:pPr>
      <w:r>
        <w:rPr>
          <w:rFonts w:hint="eastAsia" w:ascii="宋体" w:hAnsi="宋体"/>
          <w:bCs/>
          <w:szCs w:val="21"/>
          <w:highlight w:val="none"/>
        </w:rPr>
        <w:t>质疑联系人：</w:t>
      </w:r>
      <w:r>
        <w:rPr>
          <w:rFonts w:hint="eastAsia" w:ascii="宋体" w:hAnsi="宋体"/>
          <w:bCs/>
          <w:szCs w:val="21"/>
          <w:highlight w:val="none"/>
          <w:lang w:eastAsia="zh-CN"/>
        </w:rPr>
        <w:t>苏雪姣</w:t>
      </w:r>
    </w:p>
    <w:p>
      <w:pPr>
        <w:tabs>
          <w:tab w:val="left" w:pos="540"/>
        </w:tabs>
        <w:spacing w:line="400" w:lineRule="exact"/>
        <w:ind w:firstLine="525" w:firstLineChars="250"/>
        <w:rPr>
          <w:rFonts w:ascii="宋体" w:hAnsi="宋体"/>
          <w:bCs/>
          <w:szCs w:val="21"/>
          <w:highlight w:val="none"/>
        </w:rPr>
      </w:pPr>
      <w:r>
        <w:rPr>
          <w:rFonts w:hint="eastAsia" w:ascii="宋体" w:hAnsi="宋体"/>
          <w:bCs/>
          <w:szCs w:val="21"/>
          <w:highlight w:val="none"/>
        </w:rPr>
        <w:t>联系电话：</w:t>
      </w:r>
      <w:r>
        <w:rPr>
          <w:rFonts w:hint="eastAsia" w:ascii="宋体" w:hAnsi="宋体"/>
          <w:sz w:val="24"/>
          <w:highlight w:val="none"/>
          <w:lang w:val="en-US" w:eastAsia="zh-CN"/>
        </w:rPr>
        <w:t>0516-88610655</w:t>
      </w:r>
    </w:p>
    <w:p>
      <w:pPr>
        <w:tabs>
          <w:tab w:val="left" w:pos="540"/>
        </w:tabs>
        <w:spacing w:line="400" w:lineRule="exact"/>
        <w:ind w:firstLine="525" w:firstLineChars="250"/>
        <w:rPr>
          <w:rFonts w:hint="eastAsia" w:ascii="宋体" w:hAnsi="宋体"/>
          <w:bCs/>
          <w:szCs w:val="21"/>
          <w:highlight w:val="none"/>
        </w:rPr>
      </w:pPr>
      <w:r>
        <w:rPr>
          <w:rFonts w:hint="eastAsia" w:ascii="宋体" w:hAnsi="宋体"/>
          <w:bCs/>
          <w:szCs w:val="21"/>
          <w:highlight w:val="none"/>
        </w:rPr>
        <w:t>通讯地址：新沂市钟吾南路17号城投大厦4楼</w:t>
      </w:r>
    </w:p>
    <w:p>
      <w:pPr>
        <w:tabs>
          <w:tab w:val="left" w:pos="540"/>
        </w:tabs>
        <w:spacing w:line="400" w:lineRule="exact"/>
        <w:ind w:firstLine="525" w:firstLineChars="250"/>
        <w:rPr>
          <w:rFonts w:ascii="宋体" w:hAnsi="宋体"/>
          <w:bCs/>
          <w:szCs w:val="21"/>
        </w:rPr>
      </w:pPr>
      <w:r>
        <w:rPr>
          <w:rFonts w:hint="eastAsia" w:ascii="宋体" w:hAnsi="宋体"/>
          <w:bCs/>
          <w:szCs w:val="2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应当提交供应商签署的授权委托书。</w:t>
      </w:r>
    </w:p>
    <w:p>
      <w:pPr>
        <w:tabs>
          <w:tab w:val="left" w:pos="567"/>
        </w:tabs>
        <w:spacing w:line="400" w:lineRule="exact"/>
        <w:rPr>
          <w:rFonts w:ascii="宋体" w:hAnsi="宋体"/>
          <w:bCs/>
          <w:szCs w:val="21"/>
        </w:rPr>
      </w:pPr>
      <w:r>
        <w:rPr>
          <w:rFonts w:ascii="宋体" w:hAnsi="宋体"/>
          <w:bCs/>
          <w:szCs w:val="21"/>
        </w:rPr>
        <w:t>7</w:t>
      </w:r>
      <w:r>
        <w:rPr>
          <w:rFonts w:hint="eastAsia" w:ascii="宋体" w:hAnsi="宋体"/>
          <w:bCs/>
          <w:szCs w:val="21"/>
        </w:rPr>
        <w:t>.采购</w:t>
      </w:r>
      <w:r>
        <w:rPr>
          <w:rFonts w:hint="eastAsia" w:ascii="宋体" w:hAnsi="宋体"/>
          <w:szCs w:val="21"/>
        </w:rPr>
        <w:t>文件</w:t>
      </w:r>
      <w:r>
        <w:rPr>
          <w:rFonts w:hint="eastAsia" w:ascii="宋体" w:hAnsi="宋体"/>
          <w:bCs/>
          <w:szCs w:val="21"/>
        </w:rPr>
        <w:t>的澄清和修改：</w:t>
      </w:r>
    </w:p>
    <w:p>
      <w:pPr>
        <w:tabs>
          <w:tab w:val="left" w:pos="540"/>
        </w:tabs>
        <w:spacing w:line="400" w:lineRule="exact"/>
        <w:ind w:left="525" w:hanging="525" w:hangingChars="250"/>
        <w:rPr>
          <w:rFonts w:ascii="宋体" w:hAnsi="宋体"/>
          <w:bCs/>
          <w:szCs w:val="21"/>
        </w:rPr>
      </w:pPr>
      <w:r>
        <w:rPr>
          <w:rFonts w:hint="eastAsia" w:ascii="宋体" w:hAnsi="宋体"/>
          <w:bCs/>
          <w:szCs w:val="21"/>
        </w:rPr>
        <w:t>（1</w:t>
      </w:r>
      <w:r>
        <w:rPr>
          <w:rFonts w:ascii="宋体" w:hAnsi="宋体"/>
          <w:bCs/>
          <w:szCs w:val="21"/>
        </w:rPr>
        <w:t>）</w:t>
      </w:r>
      <w:r>
        <w:rPr>
          <w:rFonts w:hint="eastAsia" w:ascii="宋体" w:hAnsi="宋体"/>
          <w:bCs/>
          <w:szCs w:val="21"/>
        </w:rPr>
        <w:t>采购人或采购代理机构无论出于自己的考虑，还是出于对供应商提问的澄清，均可对采购文件用更正公告的方式进行修改。</w:t>
      </w:r>
    </w:p>
    <w:p>
      <w:pPr>
        <w:tabs>
          <w:tab w:val="left" w:pos="540"/>
        </w:tabs>
        <w:spacing w:line="400" w:lineRule="exact"/>
        <w:ind w:left="315" w:hanging="315" w:hangingChars="150"/>
        <w:rPr>
          <w:rFonts w:ascii="宋体" w:hAnsi="宋体"/>
          <w:bCs/>
          <w:szCs w:val="21"/>
        </w:rPr>
      </w:pPr>
      <w:r>
        <w:rPr>
          <w:rFonts w:hint="eastAsia" w:ascii="宋体" w:hAnsi="宋体"/>
          <w:bCs/>
          <w:szCs w:val="21"/>
        </w:rPr>
        <w:t>(2)采购文件的更正（含澄清、修改等）内容与原采购文件在同一内容上表述不一致时，以发出日期最接近磋商时间的公告为准。</w:t>
      </w:r>
    </w:p>
    <w:p>
      <w:pPr>
        <w:tabs>
          <w:tab w:val="left" w:pos="567"/>
        </w:tabs>
        <w:spacing w:line="400" w:lineRule="exact"/>
        <w:rPr>
          <w:rFonts w:ascii="宋体" w:hAnsi="宋体"/>
          <w:bCs/>
          <w:szCs w:val="21"/>
        </w:rPr>
      </w:pPr>
      <w:r>
        <w:rPr>
          <w:rFonts w:ascii="宋体" w:hAnsi="宋体"/>
          <w:szCs w:val="21"/>
        </w:rPr>
        <w:t>8</w:t>
      </w:r>
      <w:r>
        <w:rPr>
          <w:rFonts w:hint="eastAsia" w:ascii="宋体" w:hAnsi="宋体"/>
          <w:szCs w:val="21"/>
        </w:rPr>
        <w:t>.知识产权</w:t>
      </w:r>
      <w:r>
        <w:rPr>
          <w:rFonts w:hint="eastAsia" w:ascii="宋体" w:hAnsi="宋体"/>
          <w:bCs/>
          <w:szCs w:val="21"/>
        </w:rPr>
        <w:t>：</w:t>
      </w:r>
    </w:p>
    <w:p>
      <w:pPr>
        <w:tabs>
          <w:tab w:val="left" w:pos="540"/>
        </w:tabs>
        <w:spacing w:line="400" w:lineRule="exact"/>
        <w:ind w:firstLine="210" w:firstLineChars="100"/>
        <w:rPr>
          <w:rFonts w:ascii="宋体" w:hAnsi="宋体"/>
          <w:bCs/>
          <w:szCs w:val="21"/>
        </w:rPr>
      </w:pPr>
      <w:r>
        <w:rPr>
          <w:rFonts w:hint="eastAsia" w:ascii="宋体" w:hAnsi="宋体"/>
          <w:bCs/>
          <w:szCs w:val="21"/>
        </w:rPr>
        <w:t>乙方应保证甲方免除且乙方承担由于甲方在其本国使用该设备所需的设备和设计或其任何一部分时而引起第三方提出的侵犯专利权、商标权或工业设计权的起诉、行动、行政程序索赔、请求等以及甲方为此而产生的损失和损害、费用和支出（包括律师费）。</w:t>
      </w:r>
    </w:p>
    <w:p>
      <w:pPr>
        <w:tabs>
          <w:tab w:val="left" w:pos="567"/>
        </w:tabs>
        <w:spacing w:line="400" w:lineRule="exact"/>
        <w:rPr>
          <w:rFonts w:ascii="宋体" w:hAnsi="宋体"/>
          <w:bCs/>
          <w:szCs w:val="21"/>
        </w:rPr>
      </w:pPr>
      <w:r>
        <w:rPr>
          <w:rFonts w:ascii="宋体" w:hAnsi="宋体"/>
          <w:bCs/>
          <w:szCs w:val="21"/>
        </w:rPr>
        <w:t>9</w:t>
      </w:r>
      <w:r>
        <w:rPr>
          <w:rFonts w:hint="eastAsia" w:ascii="宋体" w:hAnsi="宋体"/>
          <w:bCs/>
          <w:szCs w:val="21"/>
        </w:rPr>
        <w:t>.磋商说明：</w:t>
      </w:r>
    </w:p>
    <w:p>
      <w:pPr>
        <w:tabs>
          <w:tab w:val="left" w:pos="993"/>
        </w:tabs>
        <w:spacing w:line="400" w:lineRule="exact"/>
        <w:rPr>
          <w:rFonts w:ascii="宋体" w:hAnsi="宋体"/>
          <w:bCs/>
          <w:szCs w:val="21"/>
        </w:rPr>
      </w:pPr>
      <w:r>
        <w:rPr>
          <w:rFonts w:hint="eastAsia" w:ascii="宋体" w:hAnsi="宋体"/>
          <w:bCs/>
          <w:szCs w:val="21"/>
        </w:rPr>
        <w:t>(1)不符合供应商资格要求的磋商响应文件将被拒绝；</w:t>
      </w:r>
    </w:p>
    <w:p>
      <w:pPr>
        <w:tabs>
          <w:tab w:val="left" w:pos="993"/>
        </w:tabs>
        <w:spacing w:line="400" w:lineRule="exact"/>
        <w:ind w:left="315" w:hanging="315" w:hangingChars="150"/>
        <w:rPr>
          <w:rFonts w:ascii="宋体" w:hAnsi="宋体"/>
          <w:bCs/>
          <w:szCs w:val="21"/>
        </w:rPr>
      </w:pPr>
      <w:r>
        <w:rPr>
          <w:rFonts w:hint="eastAsia" w:ascii="宋体" w:hAnsi="宋体"/>
          <w:bCs/>
          <w:szCs w:val="21"/>
        </w:rPr>
        <w:t>(</w:t>
      </w:r>
      <w:r>
        <w:rPr>
          <w:rFonts w:ascii="宋体" w:hAnsi="宋体"/>
          <w:bCs/>
          <w:szCs w:val="21"/>
        </w:rPr>
        <w:t>2</w:t>
      </w:r>
      <w:r>
        <w:rPr>
          <w:rFonts w:hint="eastAsia" w:ascii="宋体" w:hAnsi="宋体"/>
          <w:bCs/>
          <w:szCs w:val="21"/>
        </w:rPr>
        <w:t>)参加磋商的供应商必须提供供应商代表的身份证明原件和法定代表人授权委托书原件（法定代表人为磋商代表的可不提供）；</w:t>
      </w:r>
    </w:p>
    <w:p>
      <w:pPr>
        <w:tabs>
          <w:tab w:val="left" w:pos="993"/>
        </w:tabs>
        <w:spacing w:line="400" w:lineRule="exact"/>
        <w:rPr>
          <w:rFonts w:ascii="宋体" w:hAnsi="宋体"/>
          <w:bCs/>
          <w:szCs w:val="21"/>
        </w:rPr>
      </w:pPr>
      <w:r>
        <w:rPr>
          <w:rFonts w:hint="eastAsia" w:ascii="宋体" w:hAnsi="宋体"/>
          <w:bCs/>
          <w:szCs w:val="21"/>
        </w:rPr>
        <w:t>(</w:t>
      </w:r>
      <w:r>
        <w:rPr>
          <w:rFonts w:ascii="宋体" w:hAnsi="宋体"/>
          <w:bCs/>
          <w:szCs w:val="21"/>
        </w:rPr>
        <w:t>3</w:t>
      </w:r>
      <w:r>
        <w:rPr>
          <w:rFonts w:hint="eastAsia" w:ascii="宋体" w:hAnsi="宋体"/>
          <w:bCs/>
          <w:szCs w:val="21"/>
        </w:rPr>
        <w:t>)磋商响应文件密封和签署不符合要求的，磋商响应文件将被拒绝；</w:t>
      </w:r>
    </w:p>
    <w:p>
      <w:pPr>
        <w:tabs>
          <w:tab w:val="left" w:pos="993"/>
        </w:tabs>
        <w:spacing w:line="400" w:lineRule="exact"/>
        <w:rPr>
          <w:rFonts w:ascii="宋体" w:hAnsi="宋体"/>
          <w:bCs/>
          <w:szCs w:val="21"/>
        </w:rPr>
      </w:pPr>
      <w:r>
        <w:rPr>
          <w:rFonts w:hint="eastAsia" w:ascii="宋体" w:hAnsi="宋体"/>
          <w:bCs/>
          <w:szCs w:val="21"/>
        </w:rPr>
        <w:t>(</w:t>
      </w:r>
      <w:r>
        <w:rPr>
          <w:rFonts w:ascii="宋体" w:hAnsi="宋体"/>
          <w:bCs/>
          <w:szCs w:val="21"/>
        </w:rPr>
        <w:t>4</w:t>
      </w:r>
      <w:r>
        <w:rPr>
          <w:rFonts w:hint="eastAsia" w:ascii="宋体" w:hAnsi="宋体"/>
          <w:bCs/>
          <w:szCs w:val="21"/>
        </w:rPr>
        <w:t>)最终报价超过采购预算的，不能成交；</w:t>
      </w:r>
    </w:p>
    <w:p>
      <w:pPr>
        <w:tabs>
          <w:tab w:val="left" w:pos="993"/>
        </w:tabs>
        <w:spacing w:line="400" w:lineRule="exact"/>
        <w:rPr>
          <w:rFonts w:ascii="宋体" w:hAnsi="宋体"/>
          <w:bCs/>
          <w:szCs w:val="21"/>
        </w:rPr>
      </w:pPr>
      <w:r>
        <w:rPr>
          <w:rFonts w:hint="eastAsia" w:ascii="宋体" w:hAnsi="宋体"/>
          <w:bCs/>
          <w:szCs w:val="21"/>
        </w:rPr>
        <w:t>(</w:t>
      </w:r>
      <w:r>
        <w:rPr>
          <w:rFonts w:ascii="宋体" w:hAnsi="宋体"/>
          <w:bCs/>
          <w:szCs w:val="21"/>
        </w:rPr>
        <w:t>5</w:t>
      </w:r>
      <w:r>
        <w:rPr>
          <w:rFonts w:hint="eastAsia" w:ascii="宋体" w:hAnsi="宋体"/>
          <w:bCs/>
          <w:szCs w:val="21"/>
        </w:rPr>
        <w:t>)不实质性响应磋商文件的不能成交；</w:t>
      </w:r>
    </w:p>
    <w:p>
      <w:pPr>
        <w:tabs>
          <w:tab w:val="left" w:pos="993"/>
        </w:tabs>
        <w:spacing w:line="400" w:lineRule="exact"/>
        <w:ind w:left="315" w:hanging="315" w:hangingChars="150"/>
        <w:rPr>
          <w:rFonts w:ascii="宋体" w:hAnsi="宋体"/>
          <w:bCs/>
          <w:szCs w:val="21"/>
        </w:rPr>
      </w:pPr>
      <w:r>
        <w:rPr>
          <w:rFonts w:hint="eastAsia" w:ascii="宋体" w:hAnsi="宋体"/>
          <w:bCs/>
          <w:szCs w:val="21"/>
        </w:rPr>
        <w:t>(</w:t>
      </w:r>
      <w:r>
        <w:rPr>
          <w:rFonts w:ascii="宋体" w:hAnsi="宋体"/>
          <w:bCs/>
          <w:szCs w:val="21"/>
        </w:rPr>
        <w:t>6</w:t>
      </w:r>
      <w:r>
        <w:rPr>
          <w:rFonts w:hint="eastAsia" w:ascii="宋体" w:hAnsi="宋体"/>
          <w:bCs/>
          <w:szCs w:val="21"/>
        </w:rPr>
        <w:t>)实质性响应磋商文件不满三家或进入二次报价的不满三家或二次报价在采购预算内不满三家的，磋商采购失败。</w:t>
      </w:r>
    </w:p>
    <w:p>
      <w:pPr>
        <w:tabs>
          <w:tab w:val="left" w:pos="993"/>
        </w:tabs>
        <w:spacing w:line="400" w:lineRule="exact"/>
        <w:rPr>
          <w:rFonts w:ascii="宋体" w:hAnsi="宋体"/>
          <w:bCs/>
          <w:szCs w:val="21"/>
        </w:rPr>
      </w:pPr>
      <w:r>
        <w:rPr>
          <w:rFonts w:hint="eastAsia" w:ascii="宋体" w:hAnsi="宋体"/>
          <w:bCs/>
          <w:szCs w:val="21"/>
        </w:rPr>
        <w:t>(</w:t>
      </w:r>
      <w:r>
        <w:rPr>
          <w:rFonts w:ascii="宋体" w:hAnsi="宋体"/>
          <w:bCs/>
          <w:szCs w:val="21"/>
        </w:rPr>
        <w:t>7</w:t>
      </w:r>
      <w:r>
        <w:rPr>
          <w:rFonts w:hint="eastAsia" w:ascii="宋体" w:hAnsi="宋体"/>
          <w:bCs/>
          <w:szCs w:val="21"/>
        </w:rPr>
        <w:t>)最终合同单价按最终总报价同比例下（上）浮。</w:t>
      </w:r>
    </w:p>
    <w:p>
      <w:pPr>
        <w:tabs>
          <w:tab w:val="left" w:pos="567"/>
        </w:tabs>
        <w:spacing w:line="400" w:lineRule="exact"/>
        <w:rPr>
          <w:rFonts w:ascii="宋体" w:hAnsi="宋体"/>
          <w:bCs/>
          <w:szCs w:val="21"/>
        </w:rPr>
      </w:pPr>
      <w:r>
        <w:rPr>
          <w:rFonts w:hint="eastAsia" w:ascii="宋体" w:hAnsi="宋体"/>
          <w:bCs/>
          <w:szCs w:val="21"/>
        </w:rPr>
        <w:t>1</w:t>
      </w:r>
      <w:r>
        <w:rPr>
          <w:rFonts w:ascii="宋体" w:hAnsi="宋体"/>
          <w:bCs/>
          <w:szCs w:val="21"/>
        </w:rPr>
        <w:t>0</w:t>
      </w:r>
      <w:r>
        <w:rPr>
          <w:rFonts w:hint="eastAsia" w:ascii="宋体" w:hAnsi="宋体"/>
          <w:bCs/>
          <w:szCs w:val="21"/>
        </w:rPr>
        <w:t>.针对小微企业、监狱企业、残疾人福利性单位给予的评审优惠政策</w:t>
      </w:r>
    </w:p>
    <w:p>
      <w:pPr>
        <w:tabs>
          <w:tab w:val="left" w:pos="540"/>
        </w:tabs>
        <w:spacing w:line="400" w:lineRule="exact"/>
        <w:ind w:firstLine="315" w:firstLineChars="150"/>
        <w:rPr>
          <w:rFonts w:ascii="宋体" w:hAnsi="宋体"/>
          <w:bCs/>
          <w:szCs w:val="21"/>
        </w:rPr>
      </w:pPr>
      <w:r>
        <w:rPr>
          <w:rFonts w:hint="eastAsia" w:ascii="宋体" w:hAnsi="宋体"/>
          <w:bCs/>
          <w:szCs w:val="21"/>
        </w:rPr>
        <w:t>根据财政部、工业和信息化部关于印发意见“财库〔2011〕181号” 关于印发《政府采购促进中小企业发展暂行办法》的通知规定、《关于促进残疾人就业政府采购政策的通知》（财库〔2017〕141号）和《关于政府采购支持监狱企业发展有关问题的通知》（财库〔2014〕68号），对属于小微企业、监狱企业、残疾人福利性单位给予评审优惠。</w:t>
      </w:r>
    </w:p>
    <w:p>
      <w:pPr>
        <w:tabs>
          <w:tab w:val="left" w:pos="540"/>
        </w:tabs>
        <w:spacing w:line="400" w:lineRule="exact"/>
        <w:ind w:firstLine="315" w:firstLineChars="150"/>
        <w:rPr>
          <w:rFonts w:ascii="宋体" w:hAnsi="宋体"/>
          <w:bCs/>
          <w:szCs w:val="21"/>
        </w:rPr>
      </w:pPr>
      <w:r>
        <w:rPr>
          <w:rFonts w:hint="eastAsia" w:ascii="宋体" w:hAnsi="宋体"/>
          <w:bCs/>
          <w:szCs w:val="21"/>
        </w:rPr>
        <w:t>如投标人为小型和微型企业、残疾人企业和监狱企业的，</w:t>
      </w:r>
      <w:r>
        <w:rPr>
          <w:rFonts w:hint="eastAsia" w:ascii="宋体" w:hAnsi="宋体"/>
          <w:bCs/>
          <w:color w:val="auto"/>
          <w:szCs w:val="21"/>
        </w:rPr>
        <w:t>其价格给予10%的扣除</w:t>
      </w:r>
      <w:r>
        <w:rPr>
          <w:rFonts w:hint="eastAsia" w:ascii="宋体" w:hAnsi="宋体"/>
          <w:bCs/>
          <w:szCs w:val="21"/>
        </w:rPr>
        <w:t>，用扣除后的价格参与评审，如扣除后的价格为最低价的，则作为评标基准价，中标金额则以实际投标报价为准。残疾人福利性单位、监狱企业、小型、微型企业的，不重复享受政策。</w:t>
      </w:r>
    </w:p>
    <w:p>
      <w:pPr>
        <w:tabs>
          <w:tab w:val="left" w:pos="540"/>
        </w:tabs>
        <w:spacing w:line="400" w:lineRule="exact"/>
        <w:ind w:firstLine="315" w:firstLineChars="150"/>
        <w:rPr>
          <w:rFonts w:ascii="宋体" w:hAnsi="宋体"/>
          <w:bCs/>
          <w:szCs w:val="21"/>
        </w:rPr>
      </w:pPr>
      <w:r>
        <w:rPr>
          <w:rFonts w:hint="eastAsia" w:ascii="宋体" w:hAnsi="宋体"/>
          <w:bCs/>
          <w:szCs w:val="21"/>
        </w:rPr>
        <w:t>投标文件中小微企业提供投标人注册地经信部门出具的中小微企业认定书复印件，或签署《中小企业声明函》；监狱企业提供由省级以上监狱管理局、戒毒管理局（含新疆生产建设兵团）出具的属于监狱企业的证明文件；残疾人福利性单位提供《残疾人福利性单位声明函》。</w:t>
      </w:r>
    </w:p>
    <w:p>
      <w:pPr>
        <w:tabs>
          <w:tab w:val="left" w:pos="540"/>
        </w:tabs>
        <w:spacing w:line="400" w:lineRule="exact"/>
        <w:ind w:firstLine="420" w:firstLineChars="200"/>
        <w:rPr>
          <w:rFonts w:ascii="宋体" w:hAnsi="宋体"/>
          <w:bCs/>
          <w:szCs w:val="21"/>
        </w:rPr>
      </w:pPr>
      <w:r>
        <w:rPr>
          <w:rFonts w:hint="eastAsia" w:ascii="宋体" w:hAnsi="宋体"/>
          <w:bCs/>
          <w:szCs w:val="21"/>
        </w:rPr>
        <w:t>对以上企业生产的产品或提供的服务的价格给予相关比例的扣除，用扣除后的价格参与评审，未在投标文件中提供相关材料、资料的，不享受评审优惠政策。</w:t>
      </w:r>
    </w:p>
    <w:p>
      <w:pPr>
        <w:tabs>
          <w:tab w:val="left" w:pos="567"/>
        </w:tabs>
        <w:spacing w:line="400" w:lineRule="exact"/>
        <w:rPr>
          <w:rFonts w:ascii="宋体" w:hAnsi="宋体"/>
          <w:bCs/>
          <w:szCs w:val="21"/>
        </w:rPr>
      </w:pPr>
      <w:r>
        <w:rPr>
          <w:rFonts w:hint="eastAsia" w:ascii="宋体" w:hAnsi="宋体"/>
          <w:bCs/>
          <w:szCs w:val="21"/>
        </w:rPr>
        <w:t>1</w:t>
      </w:r>
      <w:r>
        <w:rPr>
          <w:rFonts w:ascii="宋体" w:hAnsi="宋体"/>
          <w:bCs/>
          <w:szCs w:val="21"/>
        </w:rPr>
        <w:t>1</w:t>
      </w:r>
      <w:r>
        <w:rPr>
          <w:rFonts w:hint="eastAsia" w:ascii="宋体" w:hAnsi="宋体"/>
          <w:bCs/>
          <w:szCs w:val="21"/>
        </w:rPr>
        <w:t>.项目的终止</w:t>
      </w:r>
    </w:p>
    <w:p>
      <w:pPr>
        <w:tabs>
          <w:tab w:val="left" w:pos="540"/>
        </w:tabs>
        <w:spacing w:line="400" w:lineRule="exact"/>
        <w:ind w:firstLine="315" w:firstLineChars="150"/>
        <w:rPr>
          <w:rFonts w:ascii="宋体" w:hAnsi="宋体"/>
          <w:bCs/>
          <w:szCs w:val="21"/>
        </w:rPr>
      </w:pPr>
      <w:r>
        <w:rPr>
          <w:rFonts w:hint="eastAsia" w:ascii="宋体" w:hAnsi="宋体"/>
          <w:bCs/>
          <w:szCs w:val="21"/>
        </w:rPr>
        <w:t>出现下列情形之一的，将终止采购活动：</w:t>
      </w:r>
    </w:p>
    <w:p>
      <w:pPr>
        <w:tabs>
          <w:tab w:val="left" w:pos="540"/>
        </w:tabs>
        <w:spacing w:line="400" w:lineRule="exact"/>
        <w:ind w:firstLine="210" w:firstLineChars="100"/>
        <w:rPr>
          <w:rFonts w:ascii="宋体" w:hAnsi="宋体"/>
          <w:bCs/>
          <w:szCs w:val="21"/>
        </w:rPr>
      </w:pPr>
      <w:r>
        <w:rPr>
          <w:rFonts w:hint="eastAsia" w:ascii="宋体" w:hAnsi="宋体"/>
          <w:bCs/>
          <w:szCs w:val="21"/>
        </w:rPr>
        <w:t>（1）因情况变化，不再符合规定的竞争性磋商采购方式适用情形的；</w:t>
      </w:r>
    </w:p>
    <w:p>
      <w:pPr>
        <w:tabs>
          <w:tab w:val="left" w:pos="540"/>
        </w:tabs>
        <w:spacing w:line="400" w:lineRule="exact"/>
        <w:ind w:firstLine="210" w:firstLineChars="100"/>
        <w:rPr>
          <w:rFonts w:ascii="宋体" w:hAnsi="宋体"/>
          <w:bCs/>
          <w:szCs w:val="21"/>
        </w:rPr>
      </w:pPr>
      <w:r>
        <w:rPr>
          <w:rFonts w:hint="eastAsia" w:ascii="宋体" w:hAnsi="宋体"/>
          <w:bCs/>
          <w:szCs w:val="21"/>
        </w:rPr>
        <w:t>（2）出现影响采购公正的违法、违规行为的；</w:t>
      </w:r>
    </w:p>
    <w:p>
      <w:pPr>
        <w:tabs>
          <w:tab w:val="left" w:pos="540"/>
        </w:tabs>
        <w:spacing w:line="400" w:lineRule="exact"/>
        <w:ind w:firstLine="315" w:firstLineChars="150"/>
        <w:rPr>
          <w:rFonts w:ascii="宋体" w:hAnsi="宋体"/>
          <w:bCs/>
          <w:szCs w:val="21"/>
        </w:rPr>
      </w:pPr>
      <w:r>
        <w:rPr>
          <w:rFonts w:hint="eastAsia" w:ascii="宋体" w:hAnsi="宋体"/>
          <w:bCs/>
          <w:szCs w:val="21"/>
        </w:rPr>
        <w:t>(3)在采购过程中符合竞争要求的供应商或者报价未超过采购预算的供应商不足三家的。</w:t>
      </w:r>
    </w:p>
    <w:p>
      <w:pPr>
        <w:tabs>
          <w:tab w:val="left" w:pos="567"/>
          <w:tab w:val="left" w:pos="960"/>
        </w:tabs>
        <w:spacing w:line="400" w:lineRule="exact"/>
        <w:ind w:left="210" w:hanging="210" w:hangingChars="100"/>
        <w:rPr>
          <w:rFonts w:ascii="宋体" w:hAnsi="宋体"/>
          <w:bCs/>
          <w:szCs w:val="21"/>
        </w:rPr>
      </w:pPr>
      <w:r>
        <w:rPr>
          <w:rFonts w:hint="eastAsia" w:ascii="宋体" w:hAnsi="宋体"/>
          <w:bCs/>
          <w:szCs w:val="21"/>
        </w:rPr>
        <w:t>1</w:t>
      </w:r>
      <w:r>
        <w:rPr>
          <w:rFonts w:ascii="宋体" w:hAnsi="宋体"/>
          <w:bCs/>
          <w:szCs w:val="21"/>
        </w:rPr>
        <w:t>2</w:t>
      </w:r>
      <w:r>
        <w:rPr>
          <w:rFonts w:hint="eastAsia" w:ascii="宋体" w:hAnsi="宋体"/>
          <w:bCs/>
          <w:szCs w:val="21"/>
        </w:rPr>
        <w:t>.采购人应当在收到评审报告后2个工作日内，从评审报告提出的成交候选供应商中，按照排序由高到低的原则确定成交供应商。</w:t>
      </w:r>
    </w:p>
    <w:p>
      <w:pPr>
        <w:tabs>
          <w:tab w:val="left" w:pos="567"/>
          <w:tab w:val="left" w:pos="960"/>
        </w:tabs>
        <w:spacing w:line="400" w:lineRule="exact"/>
        <w:ind w:left="210" w:hanging="210" w:hangingChars="100"/>
        <w:rPr>
          <w:rFonts w:ascii="宋体" w:hAnsi="宋体"/>
          <w:bCs/>
          <w:szCs w:val="21"/>
        </w:rPr>
      </w:pPr>
      <w:r>
        <w:rPr>
          <w:rFonts w:hint="eastAsia" w:ascii="宋体" w:hAnsi="宋体"/>
          <w:bCs/>
          <w:szCs w:val="21"/>
        </w:rPr>
        <w:t>1</w:t>
      </w:r>
      <w:r>
        <w:rPr>
          <w:rFonts w:ascii="宋体" w:hAnsi="宋体"/>
          <w:bCs/>
          <w:szCs w:val="21"/>
        </w:rPr>
        <w:t>3</w:t>
      </w:r>
      <w:r>
        <w:rPr>
          <w:rFonts w:hint="eastAsia" w:ascii="宋体" w:hAnsi="宋体"/>
          <w:bCs/>
          <w:szCs w:val="21"/>
        </w:rPr>
        <w:t>.采购人与成交供应商应当在成交通知书发出之日起30日内，按照磋商文件确定的合同文本以及采购标的服务要求等事项签订政府采购合同。</w:t>
      </w:r>
    </w:p>
    <w:p>
      <w:pPr>
        <w:tabs>
          <w:tab w:val="left" w:pos="567"/>
          <w:tab w:val="left" w:pos="960"/>
        </w:tabs>
        <w:spacing w:line="400" w:lineRule="exact"/>
        <w:ind w:left="210" w:hanging="210" w:hangingChars="100"/>
        <w:rPr>
          <w:rFonts w:ascii="宋体" w:hAnsi="宋体"/>
          <w:bCs/>
          <w:szCs w:val="21"/>
        </w:rPr>
      </w:pPr>
      <w:r>
        <w:rPr>
          <w:rFonts w:hint="eastAsia" w:ascii="宋体" w:hAnsi="宋体"/>
          <w:bCs/>
          <w:szCs w:val="21"/>
        </w:rPr>
        <w:t>1</w:t>
      </w:r>
      <w:r>
        <w:rPr>
          <w:rFonts w:ascii="宋体" w:hAnsi="宋体"/>
          <w:bCs/>
          <w:szCs w:val="21"/>
        </w:rPr>
        <w:t>4</w:t>
      </w:r>
      <w:r>
        <w:rPr>
          <w:rFonts w:hint="eastAsia" w:ascii="宋体" w:hAnsi="宋体"/>
          <w:bCs/>
          <w:szCs w:val="21"/>
        </w:rPr>
        <w:t>.签订合同前，成交供应商必须向采购人提交其响应文件中所有复印件的原件，采购人核查无误后，签订合同。如成交供应商不能在采购人规定的时间内向采购人提供原件，将被采购人认定为具有《中华人民共和国政府采购法》第七十七条所规定的“提供虚假材料谋取中标、成交的”情形，并承担相应的法律责任。特别要求的除外。</w:t>
      </w:r>
    </w:p>
    <w:p>
      <w:pPr>
        <w:tabs>
          <w:tab w:val="left" w:pos="567"/>
          <w:tab w:val="left" w:pos="960"/>
        </w:tabs>
        <w:spacing w:line="400" w:lineRule="exact"/>
        <w:rPr>
          <w:rFonts w:ascii="宋体" w:hAnsi="宋体"/>
          <w:b/>
          <w:bCs/>
          <w:szCs w:val="21"/>
        </w:rPr>
      </w:pPr>
      <w:r>
        <w:rPr>
          <w:rFonts w:hint="eastAsia" w:ascii="宋体" w:hAnsi="宋体"/>
          <w:b/>
          <w:szCs w:val="21"/>
        </w:rPr>
        <w:t>六、关于对参与供应商信用记录的政府采购要求：</w:t>
      </w:r>
    </w:p>
    <w:p>
      <w:pPr>
        <w:tabs>
          <w:tab w:val="left" w:pos="567"/>
        </w:tabs>
        <w:spacing w:line="400" w:lineRule="exact"/>
        <w:ind w:left="105" w:hanging="105" w:hangingChars="50"/>
        <w:rPr>
          <w:rFonts w:ascii="宋体" w:hAnsi="宋体"/>
          <w:bCs/>
          <w:szCs w:val="21"/>
          <w:highlight w:val="none"/>
        </w:rPr>
      </w:pPr>
      <w:r>
        <w:rPr>
          <w:rFonts w:hint="eastAsia" w:ascii="宋体" w:hAnsi="宋体"/>
          <w:szCs w:val="21"/>
          <w:highlight w:val="none"/>
        </w:rPr>
        <w:t>1.参与供应商</w:t>
      </w:r>
      <w:r>
        <w:rPr>
          <w:rFonts w:hint="eastAsia" w:ascii="宋体" w:hAnsi="宋体"/>
          <w:bCs/>
          <w:szCs w:val="21"/>
          <w:highlight w:val="none"/>
        </w:rPr>
        <w:t>在接收投标文件截止时间前，在</w:t>
      </w:r>
      <w:r>
        <w:rPr>
          <w:color w:val="auto"/>
          <w:highlight w:val="none"/>
          <w:u w:val="single"/>
        </w:rPr>
        <w:fldChar w:fldCharType="begin"/>
      </w:r>
      <w:r>
        <w:rPr>
          <w:color w:val="auto"/>
          <w:highlight w:val="none"/>
          <w:u w:val="single"/>
        </w:rPr>
        <w:instrText xml:space="preserve"> HYPERLINK "http://www.szgp.gov.cn）、信用中国" </w:instrText>
      </w:r>
      <w:r>
        <w:rPr>
          <w:color w:val="auto"/>
          <w:highlight w:val="none"/>
          <w:u w:val="single"/>
        </w:rPr>
        <w:fldChar w:fldCharType="separate"/>
      </w:r>
      <w:r>
        <w:rPr>
          <w:rStyle w:val="22"/>
          <w:rFonts w:hint="eastAsia" w:ascii="宋体" w:hAnsi="宋体"/>
          <w:bCs/>
          <w:color w:val="auto"/>
          <w:szCs w:val="21"/>
          <w:highlight w:val="none"/>
          <w:u w:val="single"/>
        </w:rPr>
        <w:t>信用中国</w:t>
      </w:r>
      <w:r>
        <w:rPr>
          <w:rStyle w:val="22"/>
          <w:rFonts w:hint="eastAsia" w:ascii="宋体" w:hAnsi="宋体"/>
          <w:bCs/>
          <w:color w:val="auto"/>
          <w:szCs w:val="21"/>
          <w:highlight w:val="none"/>
          <w:u w:val="single"/>
        </w:rPr>
        <w:fldChar w:fldCharType="end"/>
      </w:r>
      <w:r>
        <w:rPr>
          <w:rFonts w:hint="eastAsia" w:ascii="宋体" w:hAnsi="宋体"/>
          <w:bCs/>
          <w:color w:val="auto"/>
          <w:szCs w:val="21"/>
          <w:highlight w:val="none"/>
          <w:u w:val="single"/>
        </w:rPr>
        <w:t xml:space="preserve"> （</w:t>
      </w:r>
      <w:r>
        <w:rPr>
          <w:color w:val="auto"/>
          <w:highlight w:val="none"/>
          <w:u w:val="single"/>
        </w:rPr>
        <w:fldChar w:fldCharType="begin"/>
      </w:r>
      <w:r>
        <w:rPr>
          <w:color w:val="auto"/>
          <w:highlight w:val="none"/>
          <w:u w:val="single"/>
        </w:rPr>
        <w:instrText xml:space="preserve"> HYPERLINK "http://www.creditchina.gov.cn" </w:instrText>
      </w:r>
      <w:r>
        <w:rPr>
          <w:color w:val="auto"/>
          <w:highlight w:val="none"/>
          <w:u w:val="single"/>
        </w:rPr>
        <w:fldChar w:fldCharType="separate"/>
      </w:r>
      <w:r>
        <w:rPr>
          <w:rStyle w:val="22"/>
          <w:rFonts w:hint="eastAsia" w:ascii="宋体" w:hAnsi="宋体"/>
          <w:bCs/>
          <w:color w:val="auto"/>
          <w:szCs w:val="21"/>
          <w:highlight w:val="none"/>
          <w:u w:val="single"/>
        </w:rPr>
        <w:t>www.creditchina.gov.cn</w:t>
      </w:r>
      <w:r>
        <w:rPr>
          <w:rStyle w:val="22"/>
          <w:rFonts w:hint="eastAsia" w:ascii="宋体" w:hAnsi="宋体"/>
          <w:bCs/>
          <w:color w:val="auto"/>
          <w:szCs w:val="21"/>
          <w:highlight w:val="none"/>
          <w:u w:val="single"/>
        </w:rPr>
        <w:fldChar w:fldCharType="end"/>
      </w:r>
      <w:r>
        <w:rPr>
          <w:rFonts w:hint="eastAsia" w:ascii="宋体" w:hAnsi="宋体"/>
          <w:bCs/>
          <w:color w:val="auto"/>
          <w:szCs w:val="21"/>
          <w:highlight w:val="none"/>
          <w:u w:val="single"/>
        </w:rPr>
        <w:t>）、中国政府采购网（www.ccgp.gov.cn）</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信用江苏（</w:t>
      </w:r>
      <w:r>
        <w:rPr>
          <w:color w:val="auto"/>
          <w:highlight w:val="none"/>
          <w:u w:val="single"/>
        </w:rPr>
        <w:fldChar w:fldCharType="begin"/>
      </w:r>
      <w:r>
        <w:rPr>
          <w:color w:val="auto"/>
          <w:highlight w:val="none"/>
          <w:u w:val="single"/>
        </w:rPr>
        <w:instrText xml:space="preserve"> HYPERLINK "http://www.jscredit.gov.cn" </w:instrText>
      </w:r>
      <w:r>
        <w:rPr>
          <w:color w:val="auto"/>
          <w:highlight w:val="none"/>
          <w:u w:val="single"/>
        </w:rPr>
        <w:fldChar w:fldCharType="separate"/>
      </w:r>
      <w:r>
        <w:rPr>
          <w:rStyle w:val="22"/>
          <w:rFonts w:hint="eastAsia" w:ascii="宋体" w:hAnsi="宋体"/>
          <w:bCs/>
          <w:color w:val="auto"/>
          <w:szCs w:val="21"/>
          <w:highlight w:val="none"/>
          <w:u w:val="single"/>
        </w:rPr>
        <w:t>www.jscredit.gov.cn</w:t>
      </w:r>
      <w:r>
        <w:rPr>
          <w:rStyle w:val="22"/>
          <w:rFonts w:hint="eastAsia" w:ascii="宋体" w:hAnsi="宋体"/>
          <w:bCs/>
          <w:color w:val="auto"/>
          <w:szCs w:val="21"/>
          <w:highlight w:val="none"/>
          <w:u w:val="single"/>
        </w:rPr>
        <w:fldChar w:fldCharType="end"/>
      </w:r>
      <w:r>
        <w:rPr>
          <w:rFonts w:hint="eastAsia" w:ascii="宋体" w:hAnsi="宋体"/>
          <w:bCs/>
          <w:color w:val="auto"/>
          <w:szCs w:val="21"/>
          <w:highlight w:val="none"/>
          <w:u w:val="single"/>
        </w:rPr>
        <w:t>）、诚信徐州（</w:t>
      </w:r>
      <w:r>
        <w:rPr>
          <w:color w:val="auto"/>
          <w:highlight w:val="none"/>
          <w:u w:val="single"/>
        </w:rPr>
        <w:fldChar w:fldCharType="begin"/>
      </w:r>
      <w:r>
        <w:rPr>
          <w:color w:val="auto"/>
          <w:highlight w:val="none"/>
          <w:u w:val="single"/>
        </w:rPr>
        <w:instrText xml:space="preserve"> HYPERLINK "http://www.szcredit.gov.cn" </w:instrText>
      </w:r>
      <w:r>
        <w:rPr>
          <w:color w:val="auto"/>
          <w:highlight w:val="none"/>
          <w:u w:val="single"/>
        </w:rPr>
        <w:fldChar w:fldCharType="separate"/>
      </w:r>
      <w:r>
        <w:rPr>
          <w:rStyle w:val="22"/>
          <w:rFonts w:hint="eastAsia" w:ascii="宋体" w:hAnsi="宋体"/>
          <w:bCs/>
          <w:color w:val="auto"/>
          <w:szCs w:val="21"/>
          <w:highlight w:val="none"/>
          <w:u w:val="single"/>
        </w:rPr>
        <w:t>www.szcredit.gov.cn</w:t>
      </w:r>
      <w:r>
        <w:rPr>
          <w:rStyle w:val="22"/>
          <w:rFonts w:hint="eastAsia" w:ascii="宋体" w:hAnsi="宋体"/>
          <w:bCs/>
          <w:color w:val="auto"/>
          <w:szCs w:val="21"/>
          <w:highlight w:val="none"/>
          <w:u w:val="single"/>
        </w:rPr>
        <w:fldChar w:fldCharType="end"/>
      </w:r>
      <w:r>
        <w:rPr>
          <w:rFonts w:hint="eastAsia" w:ascii="宋体" w:hAnsi="宋体"/>
          <w:bCs/>
          <w:color w:val="auto"/>
          <w:szCs w:val="21"/>
          <w:highlight w:val="none"/>
          <w:u w:val="single"/>
        </w:rPr>
        <w:t>）</w:t>
      </w:r>
      <w:r>
        <w:rPr>
          <w:rFonts w:hint="eastAsia" w:ascii="宋体" w:hAnsi="宋体"/>
          <w:bCs/>
          <w:color w:val="auto"/>
          <w:szCs w:val="21"/>
          <w:highlight w:val="none"/>
          <w:u w:val="single"/>
          <w:lang w:eastAsia="zh-CN"/>
        </w:rPr>
        <w:t>、</w:t>
      </w:r>
      <w:r>
        <w:rPr>
          <w:rFonts w:hint="eastAsia" w:ascii="宋体" w:hAnsi="宋体"/>
          <w:bCs/>
          <w:szCs w:val="21"/>
          <w:highlight w:val="none"/>
          <w:u w:val="single"/>
          <w:lang w:eastAsia="zh-CN"/>
        </w:rPr>
        <w:t>江苏省政府采购信用评价系统</w:t>
      </w:r>
      <w:r>
        <w:rPr>
          <w:rFonts w:hint="eastAsia" w:ascii="宋体" w:hAnsi="宋体"/>
          <w:bCs/>
          <w:szCs w:val="21"/>
          <w:highlight w:val="none"/>
        </w:rPr>
        <w:t>的网站输入供应商全称或统一社会信用代码查询信用记录，并将查询结果装订在响应文件中。</w:t>
      </w:r>
    </w:p>
    <w:p>
      <w:pPr>
        <w:tabs>
          <w:tab w:val="left" w:pos="567"/>
        </w:tabs>
        <w:spacing w:line="400" w:lineRule="exact"/>
        <w:ind w:left="105" w:hanging="105" w:hangingChars="50"/>
        <w:rPr>
          <w:rFonts w:ascii="宋体" w:hAnsi="宋体"/>
          <w:bCs/>
          <w:szCs w:val="21"/>
          <w:highlight w:val="yellow"/>
        </w:rPr>
      </w:pPr>
      <w:r>
        <w:rPr>
          <w:rFonts w:hint="eastAsia" w:ascii="宋体" w:hAnsi="宋体"/>
          <w:bCs/>
          <w:szCs w:val="21"/>
          <w:highlight w:val="none"/>
        </w:rPr>
        <w:t>2.</w:t>
      </w:r>
      <w:r>
        <w:rPr>
          <w:rFonts w:hint="eastAsia" w:ascii="宋体" w:hAnsi="宋体"/>
          <w:bCs/>
          <w:color w:val="auto"/>
          <w:szCs w:val="21"/>
          <w:highlight w:val="none"/>
        </w:rPr>
        <w:t>代理机构</w:t>
      </w:r>
      <w:r>
        <w:rPr>
          <w:rFonts w:hint="eastAsia" w:ascii="宋体" w:hAnsi="宋体"/>
          <w:bCs/>
          <w:szCs w:val="21"/>
          <w:highlight w:val="none"/>
        </w:rPr>
        <w:t>在对供应商进行资格性审查时，应根据查询结果对供应商的不良信用记录逐项甄别确认。按照《中华人民共和国政府采购法》第二十二条规定，下列信用记录属于应依法拒绝供应商参加政府采购失信信息：</w:t>
      </w:r>
    </w:p>
    <w:p>
      <w:pPr>
        <w:tabs>
          <w:tab w:val="left" w:pos="540"/>
        </w:tabs>
        <w:spacing w:line="400" w:lineRule="exact"/>
        <w:ind w:left="210" w:hanging="210" w:hangingChars="100"/>
        <w:rPr>
          <w:rFonts w:ascii="宋体" w:hAnsi="宋体"/>
          <w:bCs/>
          <w:szCs w:val="21"/>
        </w:rPr>
      </w:pPr>
      <w:r>
        <w:rPr>
          <w:rFonts w:hint="eastAsia" w:ascii="宋体" w:hAnsi="宋体"/>
          <w:bCs/>
          <w:szCs w:val="21"/>
        </w:rPr>
        <w:t>（1）政府采购严重违法记录，即供应商被全国各级财政部门列入“政府采购严重违法失信行为记录名单”，且在处罚有效期内的。</w:t>
      </w:r>
    </w:p>
    <w:p>
      <w:pPr>
        <w:tabs>
          <w:tab w:val="left" w:pos="540"/>
        </w:tabs>
        <w:spacing w:line="400" w:lineRule="exact"/>
        <w:rPr>
          <w:rFonts w:ascii="宋体" w:hAnsi="宋体"/>
          <w:bCs/>
          <w:szCs w:val="21"/>
        </w:rPr>
      </w:pPr>
      <w:r>
        <w:rPr>
          <w:rFonts w:hint="eastAsia" w:ascii="宋体" w:hAnsi="宋体"/>
          <w:bCs/>
          <w:szCs w:val="21"/>
        </w:rPr>
        <w:t>（2）财政部门与法院、工商、税务等部门联合惩戒的失信信息，包括：</w:t>
      </w:r>
      <w:r>
        <w:rPr>
          <w:rFonts w:ascii="宋体" w:hAnsi="宋体"/>
          <w:bCs/>
          <w:szCs w:val="21"/>
        </w:rPr>
        <w:fldChar w:fldCharType="begin"/>
      </w:r>
      <w:r>
        <w:rPr>
          <w:rFonts w:ascii="宋体" w:hAnsi="宋体"/>
          <w:bCs/>
          <w:szCs w:val="21"/>
        </w:rPr>
        <w:instrText xml:space="preserve"> </w:instrText>
      </w:r>
      <w:r>
        <w:rPr>
          <w:rFonts w:hint="eastAsia" w:ascii="宋体" w:hAnsi="宋体"/>
          <w:bCs/>
          <w:szCs w:val="21"/>
        </w:rPr>
        <w:instrText xml:space="preserve">= 1 \* GB3</w:instrText>
      </w:r>
      <w:r>
        <w:rPr>
          <w:rFonts w:ascii="宋体" w:hAnsi="宋体"/>
          <w:bCs/>
          <w:szCs w:val="21"/>
        </w:rPr>
        <w:instrText xml:space="preserve"> </w:instrText>
      </w:r>
      <w:r>
        <w:rPr>
          <w:rFonts w:ascii="宋体" w:hAnsi="宋体"/>
          <w:bCs/>
          <w:szCs w:val="21"/>
        </w:rPr>
        <w:fldChar w:fldCharType="separate"/>
      </w:r>
      <w:r>
        <w:rPr>
          <w:rFonts w:hint="eastAsia" w:ascii="宋体" w:hAnsi="宋体"/>
          <w:bCs/>
          <w:szCs w:val="21"/>
        </w:rPr>
        <w:t>①</w:t>
      </w:r>
      <w:r>
        <w:rPr>
          <w:rFonts w:ascii="宋体" w:hAnsi="宋体"/>
          <w:bCs/>
          <w:szCs w:val="21"/>
        </w:rPr>
        <w:fldChar w:fldCharType="end"/>
      </w:r>
      <w:r>
        <w:rPr>
          <w:rFonts w:hint="eastAsia" w:ascii="宋体" w:hAnsi="宋体"/>
          <w:bCs/>
          <w:szCs w:val="21"/>
        </w:rPr>
        <w:t>被列入失信被执行人名单；</w:t>
      </w:r>
      <w:r>
        <w:rPr>
          <w:rFonts w:ascii="宋体" w:hAnsi="宋体"/>
          <w:bCs/>
          <w:szCs w:val="21"/>
        </w:rPr>
        <w:fldChar w:fldCharType="begin"/>
      </w:r>
      <w:r>
        <w:rPr>
          <w:rFonts w:ascii="宋体" w:hAnsi="宋体"/>
          <w:bCs/>
          <w:szCs w:val="21"/>
        </w:rPr>
        <w:instrText xml:space="preserve"> </w:instrText>
      </w:r>
      <w:r>
        <w:rPr>
          <w:rFonts w:hint="eastAsia" w:ascii="宋体" w:hAnsi="宋体"/>
          <w:bCs/>
          <w:szCs w:val="21"/>
        </w:rPr>
        <w:instrText xml:space="preserve">= 2 \* GB3</w:instrText>
      </w:r>
      <w:r>
        <w:rPr>
          <w:rFonts w:ascii="宋体" w:hAnsi="宋体"/>
          <w:bCs/>
          <w:szCs w:val="21"/>
        </w:rPr>
        <w:instrText xml:space="preserve"> </w:instrText>
      </w:r>
      <w:r>
        <w:rPr>
          <w:rFonts w:ascii="宋体" w:hAnsi="宋体"/>
          <w:bCs/>
          <w:szCs w:val="21"/>
        </w:rPr>
        <w:fldChar w:fldCharType="separate"/>
      </w:r>
      <w:r>
        <w:rPr>
          <w:rFonts w:hint="eastAsia" w:ascii="宋体" w:hAnsi="宋体"/>
          <w:bCs/>
          <w:szCs w:val="21"/>
        </w:rPr>
        <w:t>②</w:t>
      </w:r>
      <w:r>
        <w:rPr>
          <w:rFonts w:ascii="宋体" w:hAnsi="宋体"/>
          <w:bCs/>
          <w:szCs w:val="21"/>
        </w:rPr>
        <w:fldChar w:fldCharType="end"/>
      </w:r>
      <w:r>
        <w:rPr>
          <w:rFonts w:hint="eastAsia" w:ascii="宋体" w:hAnsi="宋体"/>
          <w:bCs/>
          <w:szCs w:val="21"/>
        </w:rPr>
        <w:t>被列入重大税收违法案件当事人名单；</w:t>
      </w:r>
      <w:r>
        <w:rPr>
          <w:rFonts w:ascii="宋体" w:hAnsi="宋体"/>
          <w:bCs/>
          <w:szCs w:val="21"/>
        </w:rPr>
        <w:fldChar w:fldCharType="begin"/>
      </w:r>
      <w:r>
        <w:rPr>
          <w:rFonts w:ascii="宋体" w:hAnsi="宋体"/>
          <w:bCs/>
          <w:szCs w:val="21"/>
        </w:rPr>
        <w:instrText xml:space="preserve"> </w:instrText>
      </w:r>
      <w:r>
        <w:rPr>
          <w:rFonts w:hint="eastAsia" w:ascii="宋体" w:hAnsi="宋体"/>
          <w:bCs/>
          <w:szCs w:val="21"/>
        </w:rPr>
        <w:instrText xml:space="preserve">= 3 \* GB3</w:instrText>
      </w:r>
      <w:r>
        <w:rPr>
          <w:rFonts w:ascii="宋体" w:hAnsi="宋体"/>
          <w:bCs/>
          <w:szCs w:val="21"/>
        </w:rPr>
        <w:instrText xml:space="preserve"> </w:instrText>
      </w:r>
      <w:r>
        <w:rPr>
          <w:rFonts w:ascii="宋体" w:hAnsi="宋体"/>
          <w:bCs/>
          <w:szCs w:val="21"/>
        </w:rPr>
        <w:fldChar w:fldCharType="separate"/>
      </w:r>
      <w:r>
        <w:rPr>
          <w:rFonts w:hint="eastAsia" w:ascii="宋体" w:hAnsi="宋体"/>
          <w:bCs/>
          <w:szCs w:val="21"/>
        </w:rPr>
        <w:t>③</w:t>
      </w:r>
      <w:r>
        <w:rPr>
          <w:rFonts w:ascii="宋体" w:hAnsi="宋体"/>
          <w:bCs/>
          <w:szCs w:val="21"/>
        </w:rPr>
        <w:fldChar w:fldCharType="end"/>
      </w:r>
      <w:r>
        <w:rPr>
          <w:rFonts w:hint="eastAsia" w:ascii="宋体" w:hAnsi="宋体"/>
          <w:bCs/>
          <w:szCs w:val="21"/>
        </w:rPr>
        <w:t>企业经营异常名录中被责令停产停业、暂扣或者吊销许可证或者执照，或者对经营活动中的违法行为处以2万元以上数额罚款的信用记录。处罚生效日至递交（响应）文件日未满三年的。</w:t>
      </w:r>
    </w:p>
    <w:p>
      <w:pPr>
        <w:tabs>
          <w:tab w:val="left" w:pos="567"/>
        </w:tabs>
        <w:spacing w:line="400" w:lineRule="exact"/>
        <w:ind w:left="210" w:hanging="210" w:hangingChars="100"/>
        <w:rPr>
          <w:rFonts w:ascii="宋体" w:hAnsi="宋体"/>
          <w:szCs w:val="21"/>
        </w:rPr>
      </w:pPr>
      <w:r>
        <w:rPr>
          <w:rFonts w:hint="eastAsia" w:ascii="宋体" w:hAnsi="宋体"/>
          <w:bCs/>
          <w:szCs w:val="21"/>
        </w:rPr>
        <w:t>3.对存在失信信息的供应商，评审小组应填写《徐州市级政府采购供应商失信信息确认函》，由失信供应商应签名确认。同时，采购代理机构工作人员应根据评审小组确认的失信信息，登陆到相关来源网站页面进行复核并打印，作为证据留存。</w:t>
      </w:r>
    </w:p>
    <w:p>
      <w:pPr>
        <w:tabs>
          <w:tab w:val="left" w:pos="540"/>
          <w:tab w:val="left" w:pos="960"/>
        </w:tabs>
        <w:spacing w:line="400" w:lineRule="exact"/>
        <w:rPr>
          <w:rFonts w:ascii="宋体" w:hAnsi="宋体"/>
          <w:b/>
          <w:bCs/>
          <w:szCs w:val="21"/>
        </w:rPr>
      </w:pPr>
      <w:r>
        <w:rPr>
          <w:rFonts w:hint="eastAsia" w:ascii="宋体" w:hAnsi="宋体"/>
          <w:b/>
          <w:bCs/>
          <w:szCs w:val="21"/>
        </w:rPr>
        <w:t>七、</w:t>
      </w:r>
      <w:r>
        <w:rPr>
          <w:rFonts w:ascii="宋体" w:hAnsi="宋体"/>
          <w:b/>
          <w:bCs/>
          <w:szCs w:val="21"/>
        </w:rPr>
        <w:t>磋商程序：</w:t>
      </w:r>
    </w:p>
    <w:p>
      <w:pPr>
        <w:tabs>
          <w:tab w:val="left" w:pos="540"/>
        </w:tabs>
        <w:spacing w:line="400" w:lineRule="exact"/>
        <w:rPr>
          <w:rFonts w:ascii="宋体" w:hAnsi="宋体"/>
          <w:color w:val="auto"/>
          <w:szCs w:val="21"/>
        </w:rPr>
      </w:pPr>
      <w:r>
        <w:rPr>
          <w:rFonts w:hint="eastAsia" w:ascii="宋体" w:hAnsi="宋体"/>
          <w:szCs w:val="21"/>
        </w:rPr>
        <w:t>1.</w:t>
      </w:r>
      <w:r>
        <w:rPr>
          <w:rFonts w:ascii="宋体" w:hAnsi="宋体"/>
          <w:color w:val="auto"/>
          <w:szCs w:val="21"/>
        </w:rPr>
        <w:t>采购代理机构按本须知规定的时间、地点主持磋商采购活动。</w:t>
      </w:r>
    </w:p>
    <w:p>
      <w:pPr>
        <w:tabs>
          <w:tab w:val="left" w:pos="540"/>
        </w:tabs>
        <w:spacing w:line="400" w:lineRule="exact"/>
        <w:rPr>
          <w:rFonts w:ascii="宋体" w:hAnsi="宋体"/>
          <w:color w:val="auto"/>
          <w:szCs w:val="21"/>
        </w:rPr>
      </w:pPr>
      <w:r>
        <w:rPr>
          <w:rFonts w:hint="eastAsia" w:ascii="宋体" w:hAnsi="宋体"/>
          <w:color w:val="auto"/>
          <w:szCs w:val="21"/>
        </w:rPr>
        <w:t>2.</w:t>
      </w:r>
      <w:r>
        <w:rPr>
          <w:rFonts w:ascii="宋体" w:hAnsi="宋体"/>
          <w:color w:val="auto"/>
          <w:szCs w:val="21"/>
        </w:rPr>
        <w:t>供应商</w:t>
      </w:r>
      <w:r>
        <w:rPr>
          <w:rFonts w:hint="eastAsia" w:ascii="宋体" w:hAnsi="宋体"/>
          <w:color w:val="auto"/>
          <w:szCs w:val="21"/>
        </w:rPr>
        <w:t>的</w:t>
      </w:r>
      <w:r>
        <w:rPr>
          <w:rFonts w:ascii="宋体" w:hAnsi="宋体"/>
          <w:color w:val="auto"/>
          <w:szCs w:val="21"/>
        </w:rPr>
        <w:t>法定代表人或授权代理人应携带本人身份证明签名报到。</w:t>
      </w:r>
    </w:p>
    <w:p>
      <w:pPr>
        <w:tabs>
          <w:tab w:val="left" w:pos="540"/>
        </w:tabs>
        <w:spacing w:line="400" w:lineRule="exact"/>
        <w:ind w:left="105" w:hanging="105" w:hangingChars="50"/>
        <w:rPr>
          <w:rFonts w:ascii="宋体" w:hAnsi="宋体"/>
          <w:color w:val="auto"/>
          <w:szCs w:val="21"/>
        </w:rPr>
      </w:pPr>
      <w:r>
        <w:rPr>
          <w:rFonts w:hint="eastAsia" w:ascii="宋体" w:hAnsi="宋体"/>
          <w:color w:val="auto"/>
          <w:szCs w:val="21"/>
        </w:rPr>
        <w:t>3.</w:t>
      </w:r>
      <w:r>
        <w:rPr>
          <w:rFonts w:ascii="宋体" w:hAnsi="宋体"/>
          <w:color w:val="auto"/>
          <w:szCs w:val="21"/>
        </w:rPr>
        <w:t>在磋商文件递交截止时间前，</w:t>
      </w:r>
      <w:r>
        <w:rPr>
          <w:rFonts w:hint="eastAsia" w:ascii="宋体" w:hAnsi="宋体"/>
          <w:color w:val="auto"/>
          <w:szCs w:val="21"/>
        </w:rPr>
        <w:t>响应单位</w:t>
      </w:r>
      <w:r>
        <w:rPr>
          <w:rFonts w:ascii="宋体" w:hAnsi="宋体"/>
          <w:color w:val="auto"/>
          <w:szCs w:val="21"/>
        </w:rPr>
        <w:t>凭身份证明原件</w:t>
      </w:r>
      <w:r>
        <w:rPr>
          <w:rFonts w:hint="eastAsia" w:ascii="宋体" w:hAnsi="宋体"/>
          <w:color w:val="auto"/>
          <w:szCs w:val="21"/>
        </w:rPr>
        <w:t>、</w:t>
      </w:r>
      <w:r>
        <w:rPr>
          <w:rFonts w:ascii="宋体" w:hAnsi="宋体"/>
          <w:color w:val="auto"/>
          <w:szCs w:val="21"/>
        </w:rPr>
        <w:t>报名确认单向采购代理机构递交响应文件，未能出示保证金</w:t>
      </w:r>
      <w:r>
        <w:rPr>
          <w:rFonts w:hint="eastAsia" w:ascii="宋体" w:hAnsi="宋体"/>
          <w:color w:val="auto"/>
          <w:szCs w:val="21"/>
        </w:rPr>
        <w:t>凭证及</w:t>
      </w:r>
      <w:r>
        <w:rPr>
          <w:rFonts w:ascii="宋体" w:hAnsi="宋体"/>
          <w:color w:val="auto"/>
          <w:szCs w:val="21"/>
        </w:rPr>
        <w:t>身份证明原件的供应商，采购代理机构有权拒绝接受其响应文件。</w:t>
      </w:r>
    </w:p>
    <w:p>
      <w:pPr>
        <w:tabs>
          <w:tab w:val="left" w:pos="540"/>
        </w:tabs>
        <w:spacing w:line="400" w:lineRule="exact"/>
        <w:rPr>
          <w:rFonts w:ascii="宋体" w:hAnsi="宋体"/>
          <w:color w:val="auto"/>
          <w:szCs w:val="21"/>
        </w:rPr>
      </w:pPr>
      <w:r>
        <w:rPr>
          <w:rFonts w:hint="eastAsia" w:ascii="宋体" w:hAnsi="宋体"/>
          <w:color w:val="auto"/>
          <w:szCs w:val="21"/>
        </w:rPr>
        <w:t>4.</w:t>
      </w:r>
      <w:r>
        <w:rPr>
          <w:rFonts w:ascii="宋体" w:hAnsi="宋体"/>
          <w:color w:val="auto"/>
          <w:szCs w:val="21"/>
        </w:rPr>
        <w:t>由磋商小组审查供应商提交的响应文件。</w:t>
      </w:r>
    </w:p>
    <w:p>
      <w:pPr>
        <w:tabs>
          <w:tab w:val="left" w:pos="540"/>
        </w:tabs>
        <w:spacing w:line="400" w:lineRule="exact"/>
        <w:ind w:left="210" w:hanging="210" w:hangingChars="100"/>
        <w:rPr>
          <w:rFonts w:ascii="宋体" w:hAnsi="宋体"/>
          <w:szCs w:val="21"/>
        </w:rPr>
      </w:pPr>
      <w:r>
        <w:rPr>
          <w:rFonts w:hint="eastAsia" w:ascii="宋体" w:hAnsi="宋体"/>
          <w:szCs w:val="21"/>
        </w:rPr>
        <w:t>5.</w:t>
      </w:r>
      <w:r>
        <w:rPr>
          <w:rFonts w:ascii="宋体" w:hAnsi="宋体"/>
          <w:szCs w:val="21"/>
        </w:rPr>
        <w:t>磋商小组在对响应文件的有效性、完整性和响应程度进行审查时，可以要求供应商对响应文件中含义不明确、同类问题表述不一致或者有明显文字和计算错误的内容等作必要的澄清、说明或者更正。供应商的澄清、说明或者更正不得超出响应文件的范围或者改变响应文件的实质性内容。</w:t>
      </w:r>
    </w:p>
    <w:p>
      <w:pPr>
        <w:tabs>
          <w:tab w:val="left" w:pos="540"/>
        </w:tabs>
        <w:spacing w:line="400" w:lineRule="exact"/>
        <w:ind w:left="210" w:hanging="210" w:hangingChars="100"/>
        <w:rPr>
          <w:rFonts w:ascii="宋体" w:hAnsi="宋体"/>
          <w:szCs w:val="21"/>
        </w:rPr>
      </w:pPr>
      <w:r>
        <w:rPr>
          <w:rFonts w:hint="eastAsia" w:ascii="宋体" w:hAnsi="宋体"/>
          <w:szCs w:val="21"/>
        </w:rPr>
        <w:t>6.</w:t>
      </w:r>
      <w:r>
        <w:rPr>
          <w:rFonts w:ascii="宋体" w:hAnsi="宋体"/>
          <w:szCs w:val="21"/>
        </w:rPr>
        <w:t>磋商小组要求供应商澄清、说明或者更正响应文件应当以书面形式</w:t>
      </w:r>
      <w:r>
        <w:rPr>
          <w:rFonts w:hint="eastAsia" w:ascii="宋体" w:hAnsi="宋体"/>
          <w:szCs w:val="21"/>
        </w:rPr>
        <w:t>提交</w:t>
      </w:r>
      <w:r>
        <w:rPr>
          <w:rFonts w:ascii="宋体" w:hAnsi="宋体"/>
          <w:szCs w:val="21"/>
        </w:rPr>
        <w:t>。供应商的澄清、说明或者更正应当由法定代表人或其授权代表签字或者加盖公章。</w:t>
      </w:r>
    </w:p>
    <w:p>
      <w:pPr>
        <w:tabs>
          <w:tab w:val="left" w:pos="540"/>
        </w:tabs>
        <w:spacing w:line="400" w:lineRule="exact"/>
        <w:ind w:left="210" w:hanging="210" w:hangingChars="100"/>
        <w:rPr>
          <w:rFonts w:ascii="宋体" w:hAnsi="宋体"/>
          <w:szCs w:val="21"/>
        </w:rPr>
      </w:pPr>
      <w:r>
        <w:rPr>
          <w:rFonts w:hint="eastAsia" w:ascii="宋体" w:hAnsi="宋体"/>
          <w:szCs w:val="21"/>
        </w:rPr>
        <w:t>7.</w:t>
      </w:r>
      <w:r>
        <w:rPr>
          <w:rFonts w:ascii="宋体" w:hAnsi="宋体"/>
          <w:szCs w:val="21"/>
        </w:rPr>
        <w:t>磋商小组所有成员集中与单一供应商分别进行磋商，并给予所有参加磋商的供应商平等的磋商机会。</w:t>
      </w:r>
    </w:p>
    <w:p>
      <w:pPr>
        <w:tabs>
          <w:tab w:val="left" w:pos="540"/>
        </w:tabs>
        <w:spacing w:line="400" w:lineRule="exact"/>
        <w:ind w:left="210" w:hanging="210" w:hangingChars="100"/>
        <w:rPr>
          <w:rFonts w:ascii="宋体" w:hAnsi="宋体"/>
          <w:szCs w:val="21"/>
        </w:rPr>
      </w:pPr>
      <w:r>
        <w:rPr>
          <w:rFonts w:hint="eastAsia" w:ascii="宋体" w:hAnsi="宋体"/>
          <w:szCs w:val="21"/>
        </w:rPr>
        <w:t>8.</w:t>
      </w:r>
      <w:r>
        <w:rPr>
          <w:rFonts w:ascii="宋体" w:hAnsi="宋体"/>
          <w:szCs w:val="21"/>
        </w:rPr>
        <w:t>在磋商过程中，磋商小组可以根据磋商文件和磋商情况实质性变动采购需求中的技术、服务要求以及合同草案条款。对磋商文件作实质性变动是磋商文件的有效组成部分，磋商小组将及时以书面形式同时通知所有参加磋商的供应商。</w:t>
      </w:r>
    </w:p>
    <w:p>
      <w:pPr>
        <w:tabs>
          <w:tab w:val="left" w:pos="540"/>
        </w:tabs>
        <w:spacing w:line="400" w:lineRule="exact"/>
        <w:ind w:left="210" w:hanging="210" w:hangingChars="100"/>
        <w:rPr>
          <w:rFonts w:ascii="宋体" w:hAnsi="宋体"/>
          <w:szCs w:val="21"/>
        </w:rPr>
      </w:pPr>
      <w:r>
        <w:rPr>
          <w:rFonts w:hint="eastAsia" w:ascii="宋体" w:hAnsi="宋体"/>
          <w:szCs w:val="21"/>
        </w:rPr>
        <w:t>9.</w:t>
      </w:r>
      <w:r>
        <w:rPr>
          <w:rFonts w:ascii="宋体" w:hAnsi="宋体"/>
          <w:szCs w:val="21"/>
        </w:rPr>
        <w:t>供应商应当按照磋商文件的变动情况和磋商小组的要求重新提交响应文件，并由其法定代表人或授权代表签字或者加盖公章。</w:t>
      </w:r>
    </w:p>
    <w:p>
      <w:pPr>
        <w:tabs>
          <w:tab w:val="left" w:pos="540"/>
        </w:tabs>
        <w:spacing w:line="400" w:lineRule="exact"/>
        <w:ind w:left="315" w:hanging="315" w:hangingChars="150"/>
        <w:rPr>
          <w:rFonts w:ascii="宋体" w:hAnsi="宋体"/>
          <w:szCs w:val="21"/>
        </w:rPr>
      </w:pPr>
      <w:r>
        <w:rPr>
          <w:rFonts w:hint="eastAsia" w:ascii="宋体" w:hAnsi="宋体"/>
          <w:szCs w:val="21"/>
        </w:rPr>
        <w:t>10.</w:t>
      </w:r>
      <w:r>
        <w:rPr>
          <w:rFonts w:ascii="宋体" w:hAnsi="宋体"/>
          <w:szCs w:val="21"/>
        </w:rPr>
        <w:t>磋商结束后，磋商小组将要求所有实质性响应的供应商在最后一个供应商磋商结束后十五分钟内提交最后报价，提交最后报价的供应商不得少于</w:t>
      </w:r>
      <w:r>
        <w:rPr>
          <w:rFonts w:hint="eastAsia" w:ascii="宋体" w:hAnsi="宋体"/>
          <w:szCs w:val="21"/>
        </w:rPr>
        <w:t>3</w:t>
      </w:r>
      <w:r>
        <w:rPr>
          <w:rFonts w:ascii="宋体" w:hAnsi="宋体"/>
          <w:szCs w:val="21"/>
        </w:rPr>
        <w:t>家。</w:t>
      </w:r>
    </w:p>
    <w:p>
      <w:pPr>
        <w:tabs>
          <w:tab w:val="left" w:pos="540"/>
        </w:tabs>
        <w:spacing w:line="400" w:lineRule="exact"/>
        <w:ind w:left="210" w:hanging="210" w:hangingChars="100"/>
        <w:rPr>
          <w:rFonts w:ascii="宋体" w:hAnsi="宋体"/>
          <w:szCs w:val="21"/>
        </w:rPr>
      </w:pPr>
      <w:r>
        <w:rPr>
          <w:rFonts w:hint="eastAsia" w:ascii="宋体" w:hAnsi="宋体"/>
          <w:szCs w:val="21"/>
        </w:rPr>
        <w:t>11.</w:t>
      </w:r>
      <w:r>
        <w:rPr>
          <w:rFonts w:ascii="宋体" w:hAnsi="宋体"/>
          <w:szCs w:val="21"/>
        </w:rPr>
        <w:t>经磋商确定最终采购需求和提交最后报价的供应商后，由磋商小组采用综合评分法对提交最后报价的供应商的响应文件和最后报价进行综合评分。</w:t>
      </w:r>
    </w:p>
    <w:p>
      <w:pPr>
        <w:tabs>
          <w:tab w:val="left" w:pos="540"/>
        </w:tabs>
        <w:spacing w:line="400" w:lineRule="exact"/>
        <w:rPr>
          <w:rFonts w:ascii="宋体" w:hAnsi="宋体"/>
          <w:szCs w:val="21"/>
        </w:rPr>
      </w:pPr>
      <w:r>
        <w:rPr>
          <w:rFonts w:hint="eastAsia" w:ascii="宋体" w:hAnsi="宋体"/>
          <w:szCs w:val="21"/>
        </w:rPr>
        <w:t>12.</w:t>
      </w:r>
      <w:r>
        <w:rPr>
          <w:rFonts w:ascii="宋体" w:hAnsi="宋体"/>
          <w:szCs w:val="21"/>
        </w:rPr>
        <w:t>磋商小组根据磋商成交原则确定成交供应商，并将结果通知所有参加磋商的供应商。</w:t>
      </w:r>
    </w:p>
    <w:p>
      <w:pPr>
        <w:tabs>
          <w:tab w:val="left" w:pos="540"/>
        </w:tabs>
        <w:spacing w:line="400" w:lineRule="exact"/>
        <w:rPr>
          <w:rFonts w:ascii="宋体" w:hAnsi="宋体"/>
          <w:szCs w:val="21"/>
        </w:rPr>
      </w:pPr>
      <w:r>
        <w:rPr>
          <w:rFonts w:hint="eastAsia" w:ascii="宋体" w:hAnsi="宋体"/>
          <w:szCs w:val="21"/>
        </w:rPr>
        <w:t>13.</w:t>
      </w:r>
      <w:r>
        <w:rPr>
          <w:rFonts w:ascii="宋体" w:hAnsi="宋体"/>
          <w:szCs w:val="21"/>
        </w:rPr>
        <w:t>如磋商过程中出现本采购文件未尽事宜，由磋商小组根据政府采购有关法律、法规讨论决定。</w:t>
      </w:r>
    </w:p>
    <w:p>
      <w:pPr>
        <w:spacing w:line="360" w:lineRule="auto"/>
        <w:ind w:firstLine="420"/>
        <w:rPr>
          <w:rFonts w:ascii="宋体" w:hAnsi="宋体"/>
          <w:b/>
          <w:szCs w:val="21"/>
        </w:rPr>
      </w:pPr>
      <w:r>
        <w:rPr>
          <w:rFonts w:hint="eastAsia" w:ascii="宋体" w:hAnsi="宋体"/>
          <w:b/>
          <w:szCs w:val="21"/>
        </w:rPr>
        <w:t>八、付款方式：</w:t>
      </w:r>
    </w:p>
    <w:p>
      <w:pPr>
        <w:spacing w:line="360" w:lineRule="auto"/>
        <w:ind w:firstLine="420"/>
        <w:rPr>
          <w:rFonts w:ascii="宋体" w:hAnsi="宋体"/>
          <w:color w:val="auto"/>
          <w:szCs w:val="21"/>
          <w:highlight w:val="none"/>
        </w:rPr>
      </w:pPr>
      <w:r>
        <w:rPr>
          <w:rFonts w:hint="eastAsia" w:ascii="宋体" w:hAnsi="宋体"/>
          <w:color w:val="auto"/>
          <w:szCs w:val="21"/>
          <w:highlight w:val="none"/>
          <w:lang w:eastAsia="zh-CN"/>
        </w:rPr>
        <w:t>新沂市公共资源交易中心</w:t>
      </w:r>
      <w:r>
        <w:rPr>
          <w:rFonts w:hint="eastAsia" w:ascii="宋体" w:hAnsi="宋体"/>
          <w:color w:val="auto"/>
          <w:szCs w:val="21"/>
          <w:highlight w:val="none"/>
        </w:rPr>
        <w:t>对档案验收合格，纸质和电子档案全部完成后，成交供应商提供正式发票，采购人根据考核状况支付至全款的</w:t>
      </w:r>
      <w:r>
        <w:rPr>
          <w:rFonts w:hint="eastAsia" w:ascii="宋体" w:hAnsi="宋体"/>
          <w:color w:val="auto"/>
          <w:szCs w:val="21"/>
          <w:highlight w:val="none"/>
          <w:lang w:val="en-US" w:eastAsia="zh-CN"/>
        </w:rPr>
        <w:t>9</w:t>
      </w:r>
      <w:r>
        <w:rPr>
          <w:rFonts w:hint="eastAsia" w:ascii="宋体" w:hAnsi="宋体"/>
          <w:color w:val="auto"/>
          <w:szCs w:val="21"/>
          <w:highlight w:val="none"/>
        </w:rPr>
        <w:t>5%，</w:t>
      </w:r>
      <w:r>
        <w:rPr>
          <w:rFonts w:hint="eastAsia" w:ascii="宋体" w:hAnsi="宋体"/>
          <w:color w:val="auto"/>
          <w:szCs w:val="21"/>
          <w:highlight w:val="none"/>
          <w:lang w:val="en-US" w:eastAsia="zh-CN"/>
        </w:rPr>
        <w:t>5</w:t>
      </w:r>
      <w:r>
        <w:rPr>
          <w:rFonts w:hint="eastAsia" w:ascii="宋体" w:hAnsi="宋体"/>
          <w:color w:val="auto"/>
          <w:szCs w:val="21"/>
          <w:highlight w:val="none"/>
        </w:rPr>
        <w:t>个月后付清余款。</w:t>
      </w:r>
    </w:p>
    <w:p>
      <w:pPr>
        <w:widowControl/>
        <w:numPr>
          <w:ilvl w:val="0"/>
          <w:numId w:val="1"/>
        </w:numPr>
        <w:adjustRightInd w:val="0"/>
        <w:snapToGrid w:val="0"/>
        <w:spacing w:line="360" w:lineRule="auto"/>
        <w:ind w:firstLine="420" w:firstLineChars="200"/>
        <w:jc w:val="left"/>
        <w:rPr>
          <w:rFonts w:hint="eastAsia" w:ascii="宋体" w:hAnsi="宋体"/>
          <w:szCs w:val="21"/>
        </w:rPr>
      </w:pPr>
      <w:r>
        <w:rPr>
          <w:rFonts w:hint="eastAsia" w:ascii="宋体" w:hAnsi="宋体"/>
          <w:szCs w:val="21"/>
        </w:rPr>
        <w:t>受新冠疫情影响，磋商当天各供应商授权代表及随同人员须佩戴口罩，主动出示行程码和健康码及身份证原件核查，凡来自中高风险地区的人员，一律出示</w:t>
      </w:r>
      <w:r>
        <w:rPr>
          <w:rFonts w:hint="eastAsia" w:ascii="宋体" w:hAnsi="宋体"/>
          <w:szCs w:val="21"/>
          <w:lang w:val="en-US" w:eastAsia="zh-CN"/>
        </w:rPr>
        <w:t>48小时</w:t>
      </w:r>
      <w:r>
        <w:rPr>
          <w:rFonts w:hint="eastAsia" w:ascii="宋体" w:hAnsi="宋体"/>
          <w:szCs w:val="21"/>
        </w:rPr>
        <w:t>内核</w:t>
      </w:r>
      <w:r>
        <w:rPr>
          <w:rFonts w:hint="eastAsia" w:ascii="宋体" w:hAnsi="宋体"/>
          <w:szCs w:val="21"/>
          <w:lang w:eastAsia="zh-CN"/>
        </w:rPr>
        <w:t>酸</w:t>
      </w:r>
      <w:r>
        <w:rPr>
          <w:rFonts w:hint="eastAsia" w:ascii="宋体" w:hAnsi="宋体"/>
          <w:szCs w:val="21"/>
        </w:rPr>
        <w:t>阴性检测报告，如发现身份不匹配，弄虚作假等情形，一律不得进入开标室，拒绝接收响应文件，并立刻上报相关监管部分。</w:t>
      </w:r>
    </w:p>
    <w:p>
      <w:pPr>
        <w:widowControl/>
        <w:numPr>
          <w:ilvl w:val="0"/>
          <w:numId w:val="0"/>
        </w:numPr>
        <w:adjustRightInd w:val="0"/>
        <w:snapToGrid w:val="0"/>
        <w:spacing w:line="360" w:lineRule="auto"/>
        <w:jc w:val="center"/>
        <w:rPr>
          <w:rFonts w:ascii="宋体" w:hAnsi="宋体"/>
          <w:b/>
          <w:bCs/>
          <w:sz w:val="32"/>
          <w:szCs w:val="32"/>
        </w:rPr>
      </w:pPr>
      <w:r>
        <w:rPr>
          <w:rFonts w:ascii="宋体" w:hAnsi="宋体"/>
          <w:b/>
          <w:bCs/>
          <w:sz w:val="32"/>
          <w:szCs w:val="32"/>
        </w:rPr>
        <w:t>三、磋商成交原则及评分标准</w:t>
      </w:r>
    </w:p>
    <w:p>
      <w:pPr>
        <w:tabs>
          <w:tab w:val="left" w:pos="567"/>
        </w:tabs>
        <w:spacing w:line="400" w:lineRule="exact"/>
        <w:rPr>
          <w:rFonts w:ascii="宋体" w:hAnsi="宋体"/>
          <w:b/>
          <w:bCs/>
        </w:rPr>
      </w:pPr>
      <w:r>
        <w:rPr>
          <w:rFonts w:hint="eastAsia" w:ascii="宋体" w:hAnsi="宋体"/>
          <w:b/>
          <w:bCs/>
        </w:rPr>
        <w:t>一、</w:t>
      </w:r>
      <w:r>
        <w:rPr>
          <w:rFonts w:ascii="宋体" w:hAnsi="宋体"/>
          <w:b/>
          <w:bCs/>
        </w:rPr>
        <w:t>成交原则</w:t>
      </w:r>
    </w:p>
    <w:p>
      <w:pPr>
        <w:tabs>
          <w:tab w:val="left" w:pos="567"/>
        </w:tabs>
        <w:spacing w:line="400" w:lineRule="exact"/>
        <w:ind w:left="210" w:hanging="210" w:hangingChars="100"/>
        <w:jc w:val="left"/>
        <w:rPr>
          <w:rFonts w:ascii="宋体" w:hAnsi="宋体"/>
        </w:rPr>
      </w:pPr>
      <w:r>
        <w:rPr>
          <w:rFonts w:hint="eastAsia" w:ascii="宋体" w:hAnsi="宋体"/>
        </w:rPr>
        <w:t>1.</w:t>
      </w:r>
      <w:r>
        <w:rPr>
          <w:rFonts w:ascii="宋体" w:hAnsi="宋体"/>
        </w:rPr>
        <w:t>本次采购采用综合评分法，即在响应文件满足磋商文件全部实质性要求且按评审因素的量化指标评审综合得分最高的响应供应商为成交供应商。</w:t>
      </w:r>
    </w:p>
    <w:p>
      <w:pPr>
        <w:tabs>
          <w:tab w:val="left" w:pos="567"/>
        </w:tabs>
        <w:spacing w:line="400" w:lineRule="exact"/>
        <w:ind w:left="210" w:hanging="210" w:hangingChars="100"/>
        <w:jc w:val="left"/>
        <w:rPr>
          <w:rFonts w:ascii="宋体" w:hAnsi="宋体"/>
        </w:rPr>
      </w:pPr>
      <w:r>
        <w:rPr>
          <w:rFonts w:hint="eastAsia" w:ascii="宋体" w:hAnsi="宋体"/>
        </w:rPr>
        <w:t>2.</w:t>
      </w:r>
      <w:r>
        <w:rPr>
          <w:rFonts w:ascii="宋体" w:hAnsi="宋体"/>
        </w:rPr>
        <w:t>如出现评标总得分最高的磋商响应单位有两个以上的，则由</w:t>
      </w:r>
      <w:r>
        <w:rPr>
          <w:rFonts w:ascii="宋体" w:hAnsi="宋体"/>
          <w:color w:val="auto"/>
        </w:rPr>
        <w:t>代理机构</w:t>
      </w:r>
      <w:r>
        <w:rPr>
          <w:rFonts w:ascii="宋体" w:hAnsi="宋体"/>
        </w:rPr>
        <w:t>组织以抽签方式确定成交</w:t>
      </w:r>
      <w:r>
        <w:rPr>
          <w:rFonts w:hint="eastAsia" w:ascii="宋体" w:hAnsi="宋体"/>
        </w:rPr>
        <w:t>供应商</w:t>
      </w:r>
      <w:r>
        <w:rPr>
          <w:rFonts w:ascii="宋体" w:hAnsi="宋体"/>
        </w:rPr>
        <w:t>。</w:t>
      </w:r>
    </w:p>
    <w:p>
      <w:pPr>
        <w:tabs>
          <w:tab w:val="left" w:pos="567"/>
        </w:tabs>
        <w:spacing w:line="400" w:lineRule="exact"/>
        <w:ind w:left="210" w:hanging="210" w:hangingChars="100"/>
        <w:jc w:val="left"/>
        <w:rPr>
          <w:rFonts w:ascii="宋体" w:hAnsi="宋体"/>
        </w:rPr>
      </w:pPr>
      <w:r>
        <w:rPr>
          <w:rFonts w:hint="eastAsia" w:ascii="宋体" w:hAnsi="宋体"/>
        </w:rPr>
        <w:t>3.评标委员会认为投标人的报价明显低于其他通过符合性审查投标人的报价，有可能影响产品质量或者不能诚信履约的，应当要求其在评标现场半小时内提供书面说明，必要时提交相关证明材料；投标人不能证明其报价合理性的，评标委员会应当将其作为无效投标处理。</w:t>
      </w:r>
    </w:p>
    <w:p>
      <w:pPr>
        <w:pStyle w:val="25"/>
        <w:ind w:left="105" w:hanging="105" w:hangingChars="50"/>
        <w:rPr>
          <w:rFonts w:ascii="宋体" w:hAnsi="宋体"/>
        </w:rPr>
      </w:pPr>
      <w:r>
        <w:rPr>
          <w:rFonts w:hint="eastAsia" w:ascii="宋体" w:hAnsi="宋体"/>
        </w:rPr>
        <w:t>4.甲方根据前期项目成本的市场调研和测算确定合理成本范围，低于合理成本的报价将其作为无效投标处理。合理成本范围由甲方代表在评标委员会评标现场公布。</w:t>
      </w:r>
    </w:p>
    <w:p>
      <w:pPr>
        <w:tabs>
          <w:tab w:val="left" w:pos="567"/>
        </w:tabs>
        <w:spacing w:line="400" w:lineRule="exact"/>
        <w:rPr>
          <w:rFonts w:ascii="宋体" w:hAnsi="宋体"/>
          <w:b/>
          <w:bCs/>
          <w:color w:val="auto"/>
          <w:highlight w:val="none"/>
        </w:rPr>
      </w:pPr>
      <w:r>
        <w:rPr>
          <w:rFonts w:hint="eastAsia" w:ascii="宋体" w:hAnsi="宋体"/>
          <w:b/>
          <w:bCs/>
          <w:color w:val="auto"/>
          <w:highlight w:val="none"/>
        </w:rPr>
        <w:t>二、</w:t>
      </w:r>
      <w:r>
        <w:rPr>
          <w:rFonts w:ascii="宋体" w:hAnsi="宋体"/>
          <w:b/>
          <w:bCs/>
          <w:color w:val="auto"/>
          <w:highlight w:val="none"/>
        </w:rPr>
        <w:t>评分标准</w:t>
      </w:r>
    </w:p>
    <w:tbl>
      <w:tblPr>
        <w:tblStyle w:val="24"/>
        <w:tblW w:w="9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70"/>
        <w:gridCol w:w="567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6" w:type="dxa"/>
            <w:vAlign w:val="center"/>
          </w:tcPr>
          <w:p>
            <w:pPr>
              <w:snapToGrid w:val="0"/>
              <w:spacing w:line="360" w:lineRule="auto"/>
              <w:jc w:val="center"/>
              <w:rPr>
                <w:rFonts w:hint="eastAsia" w:ascii="宋体" w:hAnsi="宋体"/>
                <w:b/>
                <w:color w:val="000000"/>
                <w:sz w:val="24"/>
                <w:szCs w:val="24"/>
              </w:rPr>
            </w:pPr>
            <w:bookmarkStart w:id="3" w:name="_Toc24239438"/>
            <w:bookmarkStart w:id="4" w:name="_Toc34423573"/>
            <w:bookmarkStart w:id="5" w:name="_Toc20651994"/>
            <w:bookmarkStart w:id="6" w:name="_Toc34423570"/>
            <w:r>
              <w:rPr>
                <w:rFonts w:hint="eastAsia" w:ascii="宋体" w:hAnsi="宋体"/>
                <w:b/>
                <w:color w:val="000000"/>
                <w:sz w:val="24"/>
                <w:szCs w:val="24"/>
              </w:rPr>
              <w:t>序号</w:t>
            </w:r>
          </w:p>
        </w:tc>
        <w:tc>
          <w:tcPr>
            <w:tcW w:w="1670" w:type="dxa"/>
            <w:vAlign w:val="center"/>
          </w:tcPr>
          <w:p>
            <w:pPr>
              <w:snapToGrid w:val="0"/>
              <w:spacing w:line="360" w:lineRule="auto"/>
              <w:jc w:val="center"/>
              <w:rPr>
                <w:rFonts w:hint="eastAsia" w:ascii="宋体" w:hAnsi="宋体"/>
                <w:b/>
                <w:color w:val="000000"/>
                <w:sz w:val="24"/>
                <w:szCs w:val="24"/>
              </w:rPr>
            </w:pPr>
            <w:r>
              <w:rPr>
                <w:rFonts w:hint="eastAsia" w:ascii="宋体" w:hAnsi="宋体"/>
                <w:b/>
                <w:color w:val="000000"/>
                <w:sz w:val="24"/>
                <w:szCs w:val="24"/>
              </w:rPr>
              <w:t>评分因素</w:t>
            </w:r>
          </w:p>
        </w:tc>
        <w:tc>
          <w:tcPr>
            <w:tcW w:w="5670" w:type="dxa"/>
            <w:vAlign w:val="center"/>
          </w:tcPr>
          <w:p>
            <w:pPr>
              <w:snapToGrid w:val="0"/>
              <w:spacing w:line="360" w:lineRule="auto"/>
              <w:jc w:val="center"/>
              <w:rPr>
                <w:rFonts w:hint="eastAsia" w:ascii="宋体" w:hAnsi="宋体"/>
                <w:b/>
                <w:color w:val="000000"/>
                <w:sz w:val="24"/>
                <w:szCs w:val="24"/>
              </w:rPr>
            </w:pPr>
            <w:r>
              <w:rPr>
                <w:rFonts w:hint="eastAsia" w:ascii="宋体" w:hAnsi="宋体"/>
                <w:b/>
                <w:color w:val="000000"/>
                <w:sz w:val="24"/>
                <w:szCs w:val="24"/>
              </w:rPr>
              <w:t>评分标准说明</w:t>
            </w:r>
          </w:p>
        </w:tc>
        <w:tc>
          <w:tcPr>
            <w:tcW w:w="1080" w:type="dxa"/>
            <w:vAlign w:val="center"/>
          </w:tcPr>
          <w:p>
            <w:pPr>
              <w:snapToGrid w:val="0"/>
              <w:spacing w:line="360" w:lineRule="auto"/>
              <w:jc w:val="center"/>
              <w:rPr>
                <w:rFonts w:hint="eastAsia" w:ascii="宋体" w:hAnsi="宋体"/>
                <w:b/>
                <w:color w:val="000000"/>
                <w:sz w:val="24"/>
                <w:szCs w:val="24"/>
              </w:rPr>
            </w:pPr>
            <w:r>
              <w:rPr>
                <w:rFonts w:hint="eastAsia" w:ascii="宋体" w:hAnsi="宋体"/>
                <w:b/>
                <w:color w:val="00000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2" w:hRule="atLeast"/>
        </w:trPr>
        <w:tc>
          <w:tcPr>
            <w:tcW w:w="806" w:type="dxa"/>
            <w:vMerge w:val="restart"/>
            <w:vAlign w:val="center"/>
          </w:tcPr>
          <w:p>
            <w:pPr>
              <w:snapToGrid w:val="0"/>
              <w:spacing w:line="360" w:lineRule="auto"/>
              <w:rPr>
                <w:rFonts w:hint="eastAsia" w:ascii="宋体" w:hAnsi="宋体"/>
                <w:color w:val="000000"/>
                <w:sz w:val="24"/>
                <w:szCs w:val="24"/>
              </w:rPr>
            </w:pPr>
            <w:r>
              <w:rPr>
                <w:rFonts w:hint="eastAsia" w:ascii="宋体" w:hAnsi="宋体"/>
                <w:b/>
                <w:bCs/>
                <w:color w:val="000000"/>
                <w:sz w:val="24"/>
                <w:szCs w:val="24"/>
              </w:rPr>
              <w:t>一、商务部分 40分</w:t>
            </w:r>
          </w:p>
        </w:tc>
        <w:tc>
          <w:tcPr>
            <w:tcW w:w="1670" w:type="dxa"/>
            <w:vAlign w:val="center"/>
          </w:tcPr>
          <w:p>
            <w:pPr>
              <w:pStyle w:val="25"/>
              <w:ind w:left="105" w:hanging="105" w:hangingChars="50"/>
              <w:rPr>
                <w:rFonts w:hint="default" w:ascii="宋体" w:hAnsi="宋体" w:eastAsia="宋体" w:cs="Times New Roman"/>
                <w:lang w:val="en-US" w:eastAsia="zh-CN"/>
              </w:rPr>
            </w:pPr>
            <w:r>
              <w:rPr>
                <w:rFonts w:hint="eastAsia" w:ascii="宋体" w:hAnsi="宋体" w:eastAsia="宋体" w:cs="Times New Roman"/>
                <w:lang w:val="en-US" w:eastAsia="zh-CN"/>
              </w:rPr>
              <w:t>1投标人资质情况</w:t>
            </w:r>
          </w:p>
        </w:tc>
        <w:tc>
          <w:tcPr>
            <w:tcW w:w="5670" w:type="dxa"/>
            <w:vAlign w:val="center"/>
          </w:tcPr>
          <w:p>
            <w:pPr>
              <w:pStyle w:val="25"/>
              <w:ind w:left="105" w:hanging="105" w:hangingChars="50"/>
              <w:rPr>
                <w:rFonts w:hint="eastAsia" w:ascii="宋体" w:hAnsi="宋体" w:eastAsia="宋体" w:cs="Times New Roman"/>
              </w:rPr>
            </w:pPr>
            <w:r>
              <w:rPr>
                <w:rFonts w:hint="eastAsia" w:ascii="宋体" w:hAnsi="宋体" w:eastAsia="宋体" w:cs="Times New Roman"/>
              </w:rPr>
              <w:t>1）投标人具有ISO27001：信息安全管理体系认证证书，得</w:t>
            </w:r>
            <w:r>
              <w:rPr>
                <w:rFonts w:hint="eastAsia" w:ascii="宋体" w:hAnsi="宋体" w:eastAsia="宋体" w:cs="Times New Roman"/>
                <w:lang w:val="en-US" w:eastAsia="zh-CN"/>
              </w:rPr>
              <w:t>3</w:t>
            </w:r>
            <w:r>
              <w:rPr>
                <w:rFonts w:hint="eastAsia" w:ascii="宋体" w:hAnsi="宋体" w:eastAsia="宋体" w:cs="Times New Roman"/>
              </w:rPr>
              <w:t>分。</w:t>
            </w:r>
            <w:r>
              <w:rPr>
                <w:rFonts w:hint="eastAsia" w:ascii="宋体" w:hAnsi="宋体" w:eastAsia="宋体" w:cs="Times New Roman"/>
                <w:lang w:val="zh-CN"/>
              </w:rPr>
              <w:t>（须提供证书</w:t>
            </w:r>
            <w:r>
              <w:rPr>
                <w:rFonts w:hint="eastAsia" w:ascii="宋体" w:hAnsi="宋体" w:eastAsia="宋体" w:cs="Times New Roman"/>
                <w:lang w:val="en-US" w:eastAsia="zh-CN"/>
              </w:rPr>
              <w:t>复印件</w:t>
            </w:r>
            <w:r>
              <w:rPr>
                <w:rFonts w:hint="eastAsia" w:ascii="宋体" w:hAnsi="宋体" w:eastAsia="宋体" w:cs="Times New Roman"/>
                <w:lang w:val="zh-CN"/>
              </w:rPr>
              <w:t>加盖公章，不提供不得分）</w:t>
            </w:r>
          </w:p>
          <w:p>
            <w:pPr>
              <w:pStyle w:val="25"/>
              <w:ind w:left="105" w:hanging="105" w:hangingChars="50"/>
              <w:rPr>
                <w:rFonts w:hint="eastAsia" w:ascii="宋体" w:hAnsi="宋体" w:eastAsia="宋体" w:cs="Times New Roman"/>
                <w:lang w:val="zh-CN"/>
              </w:rPr>
            </w:pPr>
            <w:r>
              <w:rPr>
                <w:rFonts w:hint="eastAsia" w:ascii="宋体" w:hAnsi="宋体" w:eastAsia="宋体" w:cs="Times New Roman"/>
                <w:lang w:val="en-US" w:eastAsia="zh-CN"/>
              </w:rPr>
              <w:t>2</w:t>
            </w:r>
            <w:r>
              <w:rPr>
                <w:rFonts w:hint="eastAsia" w:ascii="宋体" w:hAnsi="宋体" w:eastAsia="宋体" w:cs="Times New Roman"/>
              </w:rPr>
              <w:t>）</w:t>
            </w:r>
            <w:r>
              <w:rPr>
                <w:rFonts w:hint="eastAsia" w:ascii="宋体" w:hAnsi="宋体" w:eastAsia="宋体" w:cs="Times New Roman"/>
                <w:lang w:val="zh-CN"/>
              </w:rPr>
              <w:t>投标人具有ISO</w:t>
            </w:r>
            <w:r>
              <w:rPr>
                <w:rFonts w:hint="eastAsia" w:ascii="宋体" w:hAnsi="宋体" w:eastAsia="宋体" w:cs="Times New Roman"/>
                <w:lang w:val="en-US" w:eastAsia="zh-CN"/>
              </w:rPr>
              <w:t>45</w:t>
            </w:r>
            <w:r>
              <w:rPr>
                <w:rFonts w:hint="eastAsia" w:ascii="宋体" w:hAnsi="宋体" w:eastAsia="宋体" w:cs="Times New Roman"/>
                <w:lang w:val="zh-CN"/>
              </w:rPr>
              <w:t>0</w:t>
            </w:r>
            <w:r>
              <w:rPr>
                <w:rFonts w:hint="eastAsia" w:ascii="宋体" w:hAnsi="宋体" w:eastAsia="宋体" w:cs="Times New Roman"/>
                <w:lang w:val="en-US" w:eastAsia="zh-CN"/>
              </w:rPr>
              <w:t>0</w:t>
            </w:r>
            <w:r>
              <w:rPr>
                <w:rFonts w:hint="eastAsia" w:ascii="宋体" w:hAnsi="宋体" w:eastAsia="宋体" w:cs="Times New Roman"/>
                <w:lang w:val="zh-CN"/>
              </w:rPr>
              <w:t>1职业健康安全管理体系认证证书，得</w:t>
            </w:r>
            <w:r>
              <w:rPr>
                <w:rFonts w:hint="eastAsia" w:ascii="宋体" w:hAnsi="宋体" w:cs="Times New Roman"/>
                <w:lang w:val="en-US" w:eastAsia="zh-CN"/>
              </w:rPr>
              <w:t>2</w:t>
            </w:r>
            <w:r>
              <w:rPr>
                <w:rFonts w:hint="eastAsia" w:ascii="宋体" w:hAnsi="宋体" w:eastAsia="宋体" w:cs="Times New Roman"/>
                <w:lang w:val="zh-CN"/>
              </w:rPr>
              <w:t>分。（须提供证书</w:t>
            </w:r>
            <w:r>
              <w:rPr>
                <w:rFonts w:hint="eastAsia" w:ascii="宋体" w:hAnsi="宋体" w:eastAsia="宋体" w:cs="Times New Roman"/>
                <w:lang w:val="en-US" w:eastAsia="zh-CN"/>
              </w:rPr>
              <w:t>复印件</w:t>
            </w:r>
            <w:r>
              <w:rPr>
                <w:rFonts w:hint="eastAsia" w:ascii="宋体" w:hAnsi="宋体" w:eastAsia="宋体" w:cs="Times New Roman"/>
                <w:lang w:val="zh-CN"/>
              </w:rPr>
              <w:t>加盖公章，不提供不得分）</w:t>
            </w:r>
          </w:p>
          <w:p>
            <w:pPr>
              <w:pStyle w:val="25"/>
              <w:ind w:left="105" w:hanging="105" w:hangingChars="50"/>
              <w:rPr>
                <w:rFonts w:hint="eastAsia" w:ascii="宋体" w:hAnsi="宋体" w:eastAsia="宋体" w:cs="Times New Roman"/>
                <w:lang w:val="zh-CN"/>
              </w:rPr>
            </w:pPr>
            <w:r>
              <w:rPr>
                <w:rFonts w:hint="eastAsia" w:ascii="宋体" w:hAnsi="宋体" w:eastAsia="宋体" w:cs="Times New Roman"/>
              </w:rPr>
              <w:t>3）</w:t>
            </w:r>
            <w:r>
              <w:rPr>
                <w:rFonts w:hint="eastAsia" w:ascii="宋体" w:hAnsi="宋体" w:eastAsia="宋体" w:cs="Times New Roman"/>
                <w:lang w:val="zh-CN"/>
              </w:rPr>
              <w:t>投标人具有ISO9001质量管理体系认证证书，得</w:t>
            </w:r>
            <w:r>
              <w:rPr>
                <w:rFonts w:hint="eastAsia" w:ascii="宋体" w:hAnsi="宋体" w:cs="Times New Roman"/>
                <w:lang w:val="en-US" w:eastAsia="zh-CN"/>
              </w:rPr>
              <w:t>2</w:t>
            </w:r>
            <w:r>
              <w:rPr>
                <w:rFonts w:hint="eastAsia" w:ascii="宋体" w:hAnsi="宋体" w:eastAsia="宋体" w:cs="Times New Roman"/>
                <w:lang w:val="zh-CN"/>
              </w:rPr>
              <w:t>分。（须提供证书</w:t>
            </w:r>
            <w:r>
              <w:rPr>
                <w:rFonts w:hint="eastAsia" w:ascii="宋体" w:hAnsi="宋体" w:eastAsia="宋体" w:cs="Times New Roman"/>
                <w:lang w:val="en-US" w:eastAsia="zh-CN"/>
              </w:rPr>
              <w:t>复印件</w:t>
            </w:r>
            <w:r>
              <w:rPr>
                <w:rFonts w:hint="eastAsia" w:ascii="宋体" w:hAnsi="宋体" w:eastAsia="宋体" w:cs="Times New Roman"/>
                <w:lang w:val="zh-CN"/>
              </w:rPr>
              <w:t>加盖公章，不提供不得分）</w:t>
            </w:r>
          </w:p>
          <w:p>
            <w:pPr>
              <w:pStyle w:val="25"/>
              <w:ind w:left="105" w:hanging="105" w:hangingChars="50"/>
              <w:rPr>
                <w:rFonts w:hint="eastAsia" w:ascii="宋体" w:hAnsi="宋体" w:eastAsia="宋体" w:cs="Times New Roman"/>
                <w:lang w:val="zh-CN"/>
              </w:rPr>
            </w:pPr>
            <w:r>
              <w:rPr>
                <w:rFonts w:hint="eastAsia" w:ascii="宋体" w:hAnsi="宋体" w:eastAsia="宋体" w:cs="Times New Roman"/>
                <w:lang w:val="en-US" w:eastAsia="zh-CN"/>
              </w:rPr>
              <w:t>4</w:t>
            </w:r>
            <w:r>
              <w:rPr>
                <w:rFonts w:hint="eastAsia" w:ascii="宋体" w:hAnsi="宋体" w:eastAsia="宋体" w:cs="Times New Roman"/>
              </w:rPr>
              <w:t>）</w:t>
            </w:r>
            <w:r>
              <w:rPr>
                <w:rFonts w:hint="eastAsia" w:ascii="宋体" w:hAnsi="宋体" w:eastAsia="宋体" w:cs="Times New Roman"/>
                <w:lang w:val="zh-CN"/>
              </w:rPr>
              <w:t>投标人具有ISO</w:t>
            </w:r>
            <w:r>
              <w:rPr>
                <w:rFonts w:hint="eastAsia" w:ascii="宋体" w:hAnsi="宋体" w:eastAsia="宋体" w:cs="Times New Roman"/>
                <w:lang w:val="en-US" w:eastAsia="zh-CN"/>
              </w:rPr>
              <w:t>140</w:t>
            </w:r>
            <w:r>
              <w:rPr>
                <w:rFonts w:hint="eastAsia" w:ascii="宋体" w:hAnsi="宋体" w:eastAsia="宋体" w:cs="Times New Roman"/>
                <w:lang w:val="zh-CN"/>
              </w:rPr>
              <w:t>01环境管理体系认证证书，得</w:t>
            </w:r>
            <w:r>
              <w:rPr>
                <w:rFonts w:hint="eastAsia" w:ascii="宋体" w:hAnsi="宋体" w:cs="Times New Roman"/>
                <w:lang w:val="en-US" w:eastAsia="zh-CN"/>
              </w:rPr>
              <w:t>2</w:t>
            </w:r>
            <w:r>
              <w:rPr>
                <w:rFonts w:hint="eastAsia" w:ascii="宋体" w:hAnsi="宋体" w:eastAsia="宋体" w:cs="Times New Roman"/>
                <w:lang w:val="zh-CN"/>
              </w:rPr>
              <w:t>分。（须提供证书</w:t>
            </w:r>
            <w:r>
              <w:rPr>
                <w:rFonts w:hint="eastAsia" w:ascii="宋体" w:hAnsi="宋体" w:eastAsia="宋体" w:cs="Times New Roman"/>
                <w:lang w:val="en-US" w:eastAsia="zh-CN"/>
              </w:rPr>
              <w:t>复印件</w:t>
            </w:r>
            <w:r>
              <w:rPr>
                <w:rFonts w:hint="eastAsia" w:ascii="宋体" w:hAnsi="宋体" w:eastAsia="宋体" w:cs="Times New Roman"/>
                <w:lang w:val="zh-CN"/>
              </w:rPr>
              <w:t>加盖公章，不提供不得分）</w:t>
            </w:r>
          </w:p>
          <w:p>
            <w:pPr>
              <w:pStyle w:val="25"/>
              <w:ind w:left="105" w:hanging="105" w:hangingChars="50"/>
              <w:rPr>
                <w:rFonts w:hint="eastAsia" w:ascii="宋体" w:hAnsi="宋体" w:eastAsia="宋体" w:cs="Times New Roman"/>
                <w:lang w:val="zh-CN"/>
              </w:rPr>
            </w:pPr>
            <w:r>
              <w:rPr>
                <w:rFonts w:hint="eastAsia" w:ascii="宋体" w:hAnsi="宋体" w:eastAsia="宋体" w:cs="Times New Roman"/>
                <w:lang w:val="en-US" w:eastAsia="zh-CN"/>
              </w:rPr>
              <w:t>5</w:t>
            </w:r>
            <w:r>
              <w:rPr>
                <w:rFonts w:hint="eastAsia" w:ascii="宋体" w:hAnsi="宋体" w:eastAsia="宋体" w:cs="Times New Roman"/>
              </w:rPr>
              <w:t>）</w:t>
            </w:r>
            <w:r>
              <w:rPr>
                <w:rFonts w:hint="eastAsia" w:ascii="宋体" w:hAnsi="宋体" w:eastAsia="宋体" w:cs="Times New Roman"/>
                <w:lang w:val="zh-CN"/>
              </w:rPr>
              <w:t>投标人</w:t>
            </w:r>
            <w:r>
              <w:rPr>
                <w:rFonts w:hint="eastAsia" w:ascii="宋体" w:hAnsi="宋体" w:eastAsia="宋体" w:cs="Times New Roman"/>
                <w:lang w:val="en-US" w:eastAsia="zh-CN"/>
              </w:rPr>
              <w:t>具有电子数据检测及质量管理系统软件</w:t>
            </w:r>
            <w:r>
              <w:rPr>
                <w:rFonts w:hint="eastAsia" w:ascii="宋体" w:hAnsi="宋体" w:eastAsia="宋体" w:cs="Times New Roman"/>
                <w:lang w:val="zh-CN"/>
              </w:rPr>
              <w:t>著作权</w:t>
            </w:r>
            <w:r>
              <w:rPr>
                <w:rFonts w:hint="eastAsia" w:ascii="宋体" w:hAnsi="宋体" w:eastAsia="宋体" w:cs="Times New Roman"/>
                <w:lang w:val="en-US" w:eastAsia="zh-CN"/>
              </w:rPr>
              <w:t>登记</w:t>
            </w:r>
            <w:r>
              <w:rPr>
                <w:rFonts w:hint="eastAsia" w:ascii="宋体" w:hAnsi="宋体" w:eastAsia="宋体" w:cs="Times New Roman"/>
                <w:lang w:val="zh-CN"/>
              </w:rPr>
              <w:t>证书,得</w:t>
            </w:r>
            <w:r>
              <w:rPr>
                <w:rFonts w:hint="eastAsia" w:ascii="宋体" w:hAnsi="宋体" w:eastAsia="宋体" w:cs="Times New Roman"/>
                <w:lang w:val="en-US" w:eastAsia="zh-CN"/>
              </w:rPr>
              <w:t>3</w:t>
            </w:r>
            <w:r>
              <w:rPr>
                <w:rFonts w:hint="eastAsia" w:ascii="宋体" w:hAnsi="宋体" w:eastAsia="宋体" w:cs="Times New Roman"/>
                <w:lang w:val="zh-CN"/>
              </w:rPr>
              <w:t>分（须提供证书</w:t>
            </w:r>
            <w:r>
              <w:rPr>
                <w:rFonts w:hint="eastAsia" w:ascii="宋体" w:hAnsi="宋体" w:eastAsia="宋体" w:cs="Times New Roman"/>
                <w:lang w:val="en-US" w:eastAsia="zh-CN"/>
              </w:rPr>
              <w:t>复印件</w:t>
            </w:r>
            <w:r>
              <w:rPr>
                <w:rFonts w:hint="eastAsia" w:ascii="宋体" w:hAnsi="宋体" w:eastAsia="宋体" w:cs="Times New Roman"/>
                <w:lang w:val="zh-CN"/>
              </w:rPr>
              <w:t>加盖公章，不提供不得分）</w:t>
            </w:r>
          </w:p>
          <w:p>
            <w:pPr>
              <w:pStyle w:val="25"/>
              <w:ind w:left="105" w:hanging="105" w:hangingChars="50"/>
              <w:rPr>
                <w:rFonts w:hint="eastAsia" w:ascii="宋体" w:hAnsi="宋体" w:eastAsia="宋体" w:cs="Times New Roman"/>
                <w:lang w:val="zh-CN"/>
              </w:rPr>
            </w:pPr>
            <w:r>
              <w:rPr>
                <w:rFonts w:hint="eastAsia" w:ascii="宋体" w:hAnsi="宋体" w:eastAsia="宋体" w:cs="Times New Roman"/>
                <w:lang w:val="en-US" w:eastAsia="zh-CN"/>
              </w:rPr>
              <w:t>6</w:t>
            </w:r>
            <w:r>
              <w:rPr>
                <w:rFonts w:hint="eastAsia" w:ascii="宋体" w:hAnsi="宋体" w:eastAsia="宋体" w:cs="Times New Roman"/>
              </w:rPr>
              <w:t>）</w:t>
            </w:r>
            <w:r>
              <w:rPr>
                <w:rFonts w:hint="eastAsia" w:ascii="宋体" w:hAnsi="宋体" w:eastAsia="宋体" w:cs="Times New Roman"/>
                <w:lang w:val="zh-CN"/>
              </w:rPr>
              <w:t>投标人</w:t>
            </w:r>
            <w:r>
              <w:rPr>
                <w:rFonts w:hint="eastAsia" w:ascii="宋体" w:hAnsi="宋体" w:eastAsia="宋体" w:cs="Times New Roman"/>
                <w:lang w:val="en-US" w:eastAsia="zh-CN"/>
              </w:rPr>
              <w:t>具有数据安全管理系统软件</w:t>
            </w:r>
            <w:r>
              <w:rPr>
                <w:rFonts w:hint="eastAsia" w:ascii="宋体" w:hAnsi="宋体" w:eastAsia="宋体" w:cs="Times New Roman"/>
                <w:lang w:val="zh-CN"/>
              </w:rPr>
              <w:t>著作权</w:t>
            </w:r>
            <w:r>
              <w:rPr>
                <w:rFonts w:hint="eastAsia" w:ascii="宋体" w:hAnsi="宋体" w:eastAsia="宋体" w:cs="Times New Roman"/>
                <w:lang w:val="en-US" w:eastAsia="zh-CN"/>
              </w:rPr>
              <w:t>登记</w:t>
            </w:r>
            <w:r>
              <w:rPr>
                <w:rFonts w:hint="eastAsia" w:ascii="宋体" w:hAnsi="宋体" w:eastAsia="宋体" w:cs="Times New Roman"/>
                <w:lang w:val="zh-CN"/>
              </w:rPr>
              <w:t>证书,得</w:t>
            </w:r>
            <w:r>
              <w:rPr>
                <w:rFonts w:hint="eastAsia" w:ascii="宋体" w:hAnsi="宋体" w:eastAsia="宋体" w:cs="Times New Roman"/>
                <w:lang w:val="en-US" w:eastAsia="zh-CN"/>
              </w:rPr>
              <w:t>3</w:t>
            </w:r>
            <w:r>
              <w:rPr>
                <w:rFonts w:hint="eastAsia" w:ascii="宋体" w:hAnsi="宋体" w:eastAsia="宋体" w:cs="Times New Roman"/>
                <w:lang w:val="zh-CN"/>
              </w:rPr>
              <w:t>分（须提供证书</w:t>
            </w:r>
            <w:r>
              <w:rPr>
                <w:rFonts w:hint="eastAsia" w:ascii="宋体" w:hAnsi="宋体" w:eastAsia="宋体" w:cs="Times New Roman"/>
                <w:lang w:val="en-US" w:eastAsia="zh-CN"/>
              </w:rPr>
              <w:t>复印件</w:t>
            </w:r>
            <w:r>
              <w:rPr>
                <w:rFonts w:hint="eastAsia" w:ascii="宋体" w:hAnsi="宋体" w:eastAsia="宋体" w:cs="Times New Roman"/>
                <w:lang w:val="zh-CN"/>
              </w:rPr>
              <w:t>加盖公章，不提供不得分）</w:t>
            </w:r>
          </w:p>
          <w:p>
            <w:pPr>
              <w:pStyle w:val="25"/>
              <w:ind w:left="105" w:hanging="105" w:hangingChars="50"/>
              <w:rPr>
                <w:rFonts w:hint="eastAsia" w:ascii="宋体" w:hAnsi="宋体" w:eastAsia="宋体" w:cs="Times New Roman"/>
                <w:lang w:val="zh-CN"/>
              </w:rPr>
            </w:pPr>
            <w:r>
              <w:rPr>
                <w:rFonts w:hint="eastAsia" w:ascii="宋体" w:hAnsi="宋体" w:eastAsia="宋体" w:cs="Times New Roman"/>
                <w:lang w:val="en-US" w:eastAsia="zh-CN"/>
              </w:rPr>
              <w:t>7）投标人提供信用评级机构出具的信用评级报告为AAA级的得3分；AA级的得2分，其他不得分。</w:t>
            </w:r>
            <w:r>
              <w:rPr>
                <w:rFonts w:hint="eastAsia" w:ascii="宋体" w:hAnsi="宋体" w:eastAsia="宋体" w:cs="Times New Roman"/>
                <w:lang w:val="zh-CN"/>
              </w:rPr>
              <w:t>（须提供证书</w:t>
            </w:r>
            <w:r>
              <w:rPr>
                <w:rFonts w:hint="eastAsia" w:ascii="宋体" w:hAnsi="宋体" w:eastAsia="宋体" w:cs="Times New Roman"/>
                <w:lang w:val="en-US" w:eastAsia="zh-CN"/>
              </w:rPr>
              <w:t>复印件</w:t>
            </w:r>
            <w:r>
              <w:rPr>
                <w:rFonts w:hint="eastAsia" w:ascii="宋体" w:hAnsi="宋体" w:eastAsia="宋体" w:cs="Times New Roman"/>
                <w:lang w:val="zh-CN"/>
              </w:rPr>
              <w:t>加盖公章，不提供不得分）</w:t>
            </w:r>
          </w:p>
          <w:p>
            <w:pPr>
              <w:pStyle w:val="25"/>
              <w:ind w:left="105" w:hanging="105" w:hangingChars="50"/>
              <w:rPr>
                <w:rFonts w:hint="default" w:ascii="宋体" w:hAnsi="宋体" w:eastAsia="宋体" w:cs="Times New Roman"/>
                <w:lang w:val="en-US" w:eastAsia="zh-CN"/>
              </w:rPr>
            </w:pPr>
            <w:r>
              <w:rPr>
                <w:rFonts w:hint="eastAsia" w:ascii="宋体" w:hAnsi="宋体" w:cs="Times New Roman"/>
                <w:lang w:val="en-US" w:eastAsia="zh-CN"/>
              </w:rPr>
              <w:t>8）投标人提供地市级档案局馆颁发的档案相关方面荣誉证书。得3分</w:t>
            </w:r>
            <w:r>
              <w:rPr>
                <w:rFonts w:hint="eastAsia" w:ascii="宋体" w:hAnsi="宋体" w:eastAsia="宋体" w:cs="Times New Roman"/>
                <w:lang w:val="zh-CN"/>
              </w:rPr>
              <w:t>（须提供证书</w:t>
            </w:r>
            <w:r>
              <w:rPr>
                <w:rFonts w:hint="eastAsia" w:ascii="宋体" w:hAnsi="宋体" w:eastAsia="宋体" w:cs="Times New Roman"/>
                <w:lang w:val="en-US" w:eastAsia="zh-CN"/>
              </w:rPr>
              <w:t>复印件</w:t>
            </w:r>
            <w:r>
              <w:rPr>
                <w:rFonts w:hint="eastAsia" w:ascii="宋体" w:hAnsi="宋体" w:eastAsia="宋体" w:cs="Times New Roman"/>
                <w:lang w:val="zh-CN"/>
              </w:rPr>
              <w:t>加盖公章，不提供不得分）</w:t>
            </w:r>
          </w:p>
        </w:tc>
        <w:tc>
          <w:tcPr>
            <w:tcW w:w="1080" w:type="dxa"/>
            <w:vAlign w:val="center"/>
          </w:tcPr>
          <w:p>
            <w:pPr>
              <w:snapToGrid w:val="0"/>
              <w:spacing w:line="360" w:lineRule="auto"/>
              <w:jc w:val="center"/>
              <w:rPr>
                <w:rFonts w:hint="default" w:ascii="宋体" w:hAnsi="宋体" w:eastAsia="宋体"/>
                <w:color w:val="000000"/>
                <w:sz w:val="24"/>
                <w:szCs w:val="24"/>
                <w:lang w:val="en-US" w:eastAsia="zh-CN"/>
              </w:rPr>
            </w:pPr>
            <w:r>
              <w:rPr>
                <w:rFonts w:hint="eastAsia" w:ascii="宋体" w:hAnsi="宋体"/>
                <w:color w:val="000000"/>
                <w:sz w:val="21"/>
                <w:szCs w:val="21"/>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4" w:hRule="atLeast"/>
        </w:trPr>
        <w:tc>
          <w:tcPr>
            <w:tcW w:w="806" w:type="dxa"/>
            <w:vMerge w:val="continue"/>
            <w:vAlign w:val="center"/>
          </w:tcPr>
          <w:p>
            <w:pPr>
              <w:snapToGrid w:val="0"/>
              <w:spacing w:line="360" w:lineRule="auto"/>
              <w:rPr>
                <w:rFonts w:hint="eastAsia" w:ascii="宋体" w:hAnsi="宋体" w:eastAsia="宋体"/>
                <w:color w:val="000000"/>
                <w:sz w:val="24"/>
                <w:szCs w:val="24"/>
                <w:lang w:eastAsia="zh-CN"/>
              </w:rPr>
            </w:pPr>
            <w:r>
              <w:rPr>
                <w:rFonts w:hint="eastAsia" w:ascii="宋体" w:hAnsi="宋体"/>
                <w:color w:val="000000"/>
                <w:sz w:val="24"/>
                <w:szCs w:val="24"/>
                <w:lang w:eastAsia="zh-CN"/>
              </w:rPr>
              <w:t xml:space="preserve"> </w:t>
            </w:r>
          </w:p>
        </w:tc>
        <w:tc>
          <w:tcPr>
            <w:tcW w:w="1670" w:type="dxa"/>
            <w:vAlign w:val="center"/>
          </w:tcPr>
          <w:p>
            <w:pPr>
              <w:pStyle w:val="25"/>
              <w:ind w:left="105" w:hanging="105" w:hangingChars="50"/>
              <w:rPr>
                <w:rFonts w:hint="eastAsia" w:ascii="宋体" w:hAnsi="宋体" w:eastAsia="宋体" w:cs="Times New Roman"/>
                <w:lang w:val="zh-CN"/>
              </w:rPr>
            </w:pPr>
            <w:r>
              <w:rPr>
                <w:rFonts w:hint="eastAsia" w:ascii="宋体" w:hAnsi="宋体" w:eastAsia="宋体" w:cs="Times New Roman"/>
                <w:lang w:val="zh-CN"/>
              </w:rPr>
              <w:t>2、投标人人员情况</w:t>
            </w:r>
          </w:p>
        </w:tc>
        <w:tc>
          <w:tcPr>
            <w:tcW w:w="5670" w:type="dxa"/>
            <w:vAlign w:val="center"/>
          </w:tcPr>
          <w:p>
            <w:pPr>
              <w:pStyle w:val="25"/>
              <w:ind w:left="105" w:hanging="105" w:hangingChars="50"/>
              <w:rPr>
                <w:rFonts w:hint="eastAsia" w:ascii="宋体" w:hAnsi="宋体" w:eastAsia="宋体" w:cs="Times New Roman"/>
                <w:sz w:val="21"/>
                <w:szCs w:val="21"/>
                <w:lang w:val="zh-CN" w:eastAsia="zh-CN"/>
              </w:rPr>
            </w:pPr>
            <w:r>
              <w:rPr>
                <w:rFonts w:hint="eastAsia" w:ascii="宋体" w:hAnsi="宋体" w:eastAsia="宋体" w:cs="Times New Roman"/>
                <w:sz w:val="21"/>
                <w:szCs w:val="21"/>
                <w:lang w:val="zh-CN"/>
              </w:rPr>
              <w:t>公司有具备档案专业或经国家档案管理机构系统培训并获得档案专业技术资格证员工</w:t>
            </w:r>
            <w:r>
              <w:rPr>
                <w:rFonts w:hint="eastAsia" w:ascii="宋体" w:hAnsi="宋体" w:eastAsia="宋体" w:cs="Times New Roman"/>
                <w:sz w:val="21"/>
                <w:szCs w:val="21"/>
                <w:lang w:val="en-US" w:eastAsia="zh-CN"/>
              </w:rPr>
              <w:t>每一人</w:t>
            </w:r>
            <w:r>
              <w:rPr>
                <w:rFonts w:hint="eastAsia" w:ascii="宋体" w:hAnsi="宋体" w:eastAsia="宋体" w:cs="Times New Roman"/>
                <w:sz w:val="21"/>
                <w:szCs w:val="21"/>
                <w:lang w:val="zh-CN"/>
              </w:rPr>
              <w:t>得</w:t>
            </w:r>
            <w:r>
              <w:rPr>
                <w:rFonts w:hint="eastAsia" w:ascii="宋体" w:hAnsi="宋体" w:eastAsia="宋体" w:cs="Times New Roman"/>
                <w:sz w:val="21"/>
                <w:szCs w:val="21"/>
                <w:lang w:val="en-US" w:eastAsia="zh-CN"/>
              </w:rPr>
              <w:t>1</w:t>
            </w:r>
            <w:r>
              <w:rPr>
                <w:rFonts w:hint="eastAsia" w:ascii="宋体" w:hAnsi="宋体" w:eastAsia="宋体" w:cs="Times New Roman"/>
                <w:sz w:val="21"/>
                <w:szCs w:val="21"/>
                <w:lang w:val="zh-CN"/>
              </w:rPr>
              <w:t>分，最高</w:t>
            </w:r>
            <w:r>
              <w:rPr>
                <w:rFonts w:hint="eastAsia" w:ascii="宋体" w:hAnsi="宋体" w:eastAsia="宋体" w:cs="Times New Roman"/>
                <w:sz w:val="21"/>
                <w:szCs w:val="21"/>
                <w:lang w:val="en-US" w:eastAsia="zh-CN"/>
              </w:rPr>
              <w:t>分10分</w:t>
            </w:r>
            <w:r>
              <w:rPr>
                <w:rFonts w:hint="eastAsia" w:ascii="宋体" w:hAnsi="宋体" w:eastAsia="宋体" w:cs="Times New Roman"/>
                <w:sz w:val="21"/>
                <w:szCs w:val="21"/>
                <w:lang w:val="zh-CN"/>
              </w:rPr>
              <w:t>。</w:t>
            </w:r>
          </w:p>
        </w:tc>
        <w:tc>
          <w:tcPr>
            <w:tcW w:w="1080" w:type="dxa"/>
            <w:vAlign w:val="center"/>
          </w:tcPr>
          <w:p>
            <w:pPr>
              <w:snapToGrid w:val="0"/>
              <w:spacing w:line="360" w:lineRule="auto"/>
              <w:jc w:val="center"/>
              <w:rPr>
                <w:rFonts w:hint="default" w:ascii="宋体" w:hAnsi="宋体" w:eastAsia="宋体"/>
                <w:color w:val="000000"/>
                <w:sz w:val="21"/>
                <w:szCs w:val="21"/>
                <w:lang w:val="en-US" w:eastAsia="zh-CN"/>
              </w:rPr>
            </w:pPr>
            <w:r>
              <w:rPr>
                <w:rFonts w:hint="eastAsia" w:ascii="宋体" w:hAnsi="宋体"/>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trPr>
        <w:tc>
          <w:tcPr>
            <w:tcW w:w="806" w:type="dxa"/>
            <w:vMerge w:val="continue"/>
            <w:vAlign w:val="center"/>
          </w:tcPr>
          <w:p>
            <w:pPr>
              <w:snapToGrid w:val="0"/>
              <w:spacing w:line="360" w:lineRule="auto"/>
              <w:rPr>
                <w:rFonts w:hint="eastAsia" w:ascii="宋体" w:hAnsi="宋体"/>
                <w:color w:val="000000"/>
                <w:sz w:val="24"/>
                <w:szCs w:val="24"/>
              </w:rPr>
            </w:pPr>
          </w:p>
        </w:tc>
        <w:tc>
          <w:tcPr>
            <w:tcW w:w="1670" w:type="dxa"/>
            <w:vAlign w:val="center"/>
          </w:tcPr>
          <w:p>
            <w:pPr>
              <w:spacing w:line="360" w:lineRule="auto"/>
              <w:rPr>
                <w:rFonts w:hint="default" w:eastAsia="宋体"/>
                <w:color w:val="000000"/>
                <w:sz w:val="21"/>
                <w:szCs w:val="21"/>
                <w:lang w:val="en-US" w:eastAsia="zh-CN"/>
              </w:rPr>
            </w:pPr>
            <w:r>
              <w:rPr>
                <w:rFonts w:hint="eastAsia"/>
                <w:color w:val="000000"/>
                <w:sz w:val="21"/>
                <w:szCs w:val="21"/>
              </w:rPr>
              <w:t>3、</w:t>
            </w:r>
            <w:r>
              <w:rPr>
                <w:color w:val="000000"/>
                <w:sz w:val="21"/>
                <w:szCs w:val="21"/>
              </w:rPr>
              <w:t>投标人同类型项目业绩</w:t>
            </w:r>
          </w:p>
        </w:tc>
        <w:tc>
          <w:tcPr>
            <w:tcW w:w="5670" w:type="dxa"/>
            <w:vAlign w:val="center"/>
          </w:tcPr>
          <w:p>
            <w:pPr>
              <w:spacing w:line="360" w:lineRule="auto"/>
              <w:rPr>
                <w:color w:val="auto"/>
                <w:sz w:val="21"/>
                <w:szCs w:val="21"/>
              </w:rPr>
            </w:pPr>
            <w:r>
              <w:rPr>
                <w:color w:val="auto"/>
                <w:sz w:val="21"/>
                <w:szCs w:val="21"/>
              </w:rPr>
              <w:t>投标人20</w:t>
            </w:r>
            <w:r>
              <w:rPr>
                <w:rFonts w:hint="eastAsia"/>
                <w:color w:val="auto"/>
                <w:sz w:val="21"/>
                <w:szCs w:val="21"/>
                <w:lang w:val="en-US" w:eastAsia="zh-CN"/>
              </w:rPr>
              <w:t>21</w:t>
            </w:r>
            <w:r>
              <w:rPr>
                <w:color w:val="auto"/>
                <w:sz w:val="21"/>
                <w:szCs w:val="21"/>
              </w:rPr>
              <w:t>年</w:t>
            </w:r>
            <w:r>
              <w:rPr>
                <w:rFonts w:hint="eastAsia"/>
                <w:color w:val="auto"/>
                <w:sz w:val="21"/>
                <w:szCs w:val="21"/>
              </w:rPr>
              <w:t>1月1日</w:t>
            </w:r>
            <w:r>
              <w:rPr>
                <w:color w:val="auto"/>
                <w:sz w:val="21"/>
                <w:szCs w:val="21"/>
              </w:rPr>
              <w:t>至</w:t>
            </w:r>
            <w:r>
              <w:rPr>
                <w:rFonts w:hint="eastAsia"/>
                <w:color w:val="auto"/>
                <w:sz w:val="21"/>
                <w:szCs w:val="21"/>
              </w:rPr>
              <w:t>投标截止日期间</w:t>
            </w:r>
            <w:r>
              <w:rPr>
                <w:color w:val="auto"/>
                <w:sz w:val="21"/>
                <w:szCs w:val="21"/>
              </w:rPr>
              <w:t>单项合同金额不低于</w:t>
            </w:r>
            <w:r>
              <w:rPr>
                <w:rFonts w:hint="eastAsia"/>
                <w:color w:val="auto"/>
                <w:sz w:val="21"/>
                <w:szCs w:val="21"/>
                <w:lang w:val="en-US" w:eastAsia="zh-CN"/>
              </w:rPr>
              <w:t>15</w:t>
            </w:r>
            <w:r>
              <w:rPr>
                <w:color w:val="auto"/>
                <w:sz w:val="21"/>
                <w:szCs w:val="21"/>
              </w:rPr>
              <w:t>万元或者合同加工档案页数不低于</w:t>
            </w:r>
            <w:r>
              <w:rPr>
                <w:rFonts w:hint="eastAsia"/>
                <w:color w:val="auto"/>
                <w:sz w:val="21"/>
                <w:szCs w:val="21"/>
                <w:lang w:val="en-US" w:eastAsia="zh-CN"/>
              </w:rPr>
              <w:t>4</w:t>
            </w:r>
            <w:r>
              <w:rPr>
                <w:color w:val="auto"/>
                <w:sz w:val="21"/>
                <w:szCs w:val="21"/>
              </w:rPr>
              <w:t>0万页（单页A4纸计算）的档案电子化服务项目合同。</w:t>
            </w:r>
          </w:p>
          <w:p>
            <w:pPr>
              <w:spacing w:line="360" w:lineRule="auto"/>
              <w:rPr>
                <w:bCs/>
                <w:color w:val="000000"/>
                <w:sz w:val="21"/>
                <w:szCs w:val="21"/>
              </w:rPr>
            </w:pPr>
            <w:r>
              <w:rPr>
                <w:color w:val="auto"/>
                <w:sz w:val="21"/>
                <w:szCs w:val="21"/>
              </w:rPr>
              <w:t>每一个符合要求的合同加</w:t>
            </w:r>
            <w:r>
              <w:rPr>
                <w:rFonts w:hint="eastAsia"/>
                <w:color w:val="auto"/>
                <w:sz w:val="21"/>
                <w:szCs w:val="21"/>
                <w:lang w:val="en-US" w:eastAsia="zh-CN"/>
              </w:rPr>
              <w:t>3</w:t>
            </w:r>
            <w:r>
              <w:rPr>
                <w:color w:val="auto"/>
                <w:sz w:val="21"/>
                <w:szCs w:val="21"/>
              </w:rPr>
              <w:t>分，最高分</w:t>
            </w:r>
            <w:r>
              <w:rPr>
                <w:rFonts w:hint="eastAsia"/>
                <w:color w:val="auto"/>
                <w:sz w:val="21"/>
                <w:szCs w:val="21"/>
                <w:lang w:val="en-US" w:eastAsia="zh-CN"/>
              </w:rPr>
              <w:t>9</w:t>
            </w:r>
            <w:r>
              <w:rPr>
                <w:color w:val="auto"/>
                <w:sz w:val="21"/>
                <w:szCs w:val="21"/>
              </w:rPr>
              <w:t>分。</w:t>
            </w:r>
          </w:p>
        </w:tc>
        <w:tc>
          <w:tcPr>
            <w:tcW w:w="1080" w:type="dxa"/>
            <w:vAlign w:val="center"/>
          </w:tcPr>
          <w:p>
            <w:pPr>
              <w:snapToGrid w:val="0"/>
              <w:spacing w:line="360" w:lineRule="auto"/>
              <w:jc w:val="center"/>
              <w:rPr>
                <w:rFonts w:hint="default" w:ascii="宋体" w:hAnsi="宋体"/>
                <w:color w:val="000000"/>
                <w:sz w:val="21"/>
                <w:szCs w:val="21"/>
                <w:lang w:val="en-US"/>
              </w:rPr>
            </w:pPr>
            <w:r>
              <w:rPr>
                <w:rFonts w:hint="eastAsia" w:ascii="宋体" w:hAnsi="宋体"/>
                <w:color w:val="000000"/>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1" w:hRule="atLeast"/>
        </w:trPr>
        <w:tc>
          <w:tcPr>
            <w:tcW w:w="806" w:type="dxa"/>
            <w:vMerge w:val="restart"/>
            <w:vAlign w:val="center"/>
          </w:tcPr>
          <w:p>
            <w:pPr>
              <w:snapToGrid w:val="0"/>
              <w:spacing w:line="360" w:lineRule="auto"/>
              <w:jc w:val="center"/>
              <w:rPr>
                <w:rFonts w:hint="eastAsia" w:ascii="宋体" w:hAnsi="宋体"/>
                <w:color w:val="000000"/>
                <w:sz w:val="24"/>
                <w:szCs w:val="24"/>
              </w:rPr>
            </w:pPr>
          </w:p>
          <w:p>
            <w:pPr>
              <w:snapToGrid w:val="0"/>
              <w:spacing w:line="360" w:lineRule="auto"/>
              <w:jc w:val="center"/>
              <w:rPr>
                <w:rFonts w:hint="eastAsia" w:ascii="宋体" w:hAnsi="宋体"/>
                <w:color w:val="000000"/>
                <w:sz w:val="24"/>
                <w:szCs w:val="24"/>
              </w:rPr>
            </w:pPr>
            <w:r>
              <w:rPr>
                <w:rFonts w:hint="eastAsia" w:ascii="宋体" w:hAnsi="宋体"/>
                <w:b/>
                <w:bCs/>
                <w:color w:val="000000"/>
                <w:sz w:val="24"/>
                <w:szCs w:val="24"/>
              </w:rPr>
              <w:t>二、技术服务部分</w:t>
            </w:r>
            <w:r>
              <w:rPr>
                <w:rFonts w:hint="eastAsia" w:ascii="宋体" w:hAnsi="宋体"/>
                <w:b/>
                <w:bCs/>
                <w:color w:val="000000"/>
                <w:sz w:val="24"/>
                <w:szCs w:val="24"/>
                <w:lang w:val="en-US" w:eastAsia="zh-CN"/>
              </w:rPr>
              <w:t>40</w:t>
            </w:r>
            <w:r>
              <w:rPr>
                <w:rFonts w:hint="eastAsia" w:ascii="宋体" w:hAnsi="宋体"/>
                <w:b/>
                <w:bCs/>
                <w:color w:val="000000"/>
                <w:sz w:val="24"/>
                <w:szCs w:val="24"/>
              </w:rPr>
              <w:t>分</w:t>
            </w:r>
          </w:p>
        </w:tc>
        <w:tc>
          <w:tcPr>
            <w:tcW w:w="1670" w:type="dxa"/>
            <w:vAlign w:val="center"/>
          </w:tcPr>
          <w:p>
            <w:pPr>
              <w:spacing w:line="360" w:lineRule="auto"/>
              <w:rPr>
                <w:bCs/>
                <w:color w:val="000000"/>
                <w:sz w:val="21"/>
                <w:szCs w:val="21"/>
              </w:rPr>
            </w:pPr>
            <w:r>
              <w:rPr>
                <w:rFonts w:hint="eastAsia"/>
                <w:bCs/>
                <w:color w:val="000000"/>
                <w:sz w:val="21"/>
                <w:szCs w:val="21"/>
              </w:rPr>
              <w:t>1、</w:t>
            </w:r>
            <w:r>
              <w:rPr>
                <w:bCs/>
                <w:color w:val="000000"/>
                <w:sz w:val="21"/>
                <w:szCs w:val="21"/>
              </w:rPr>
              <w:t>加工流程整体设计方案和管理制度</w:t>
            </w:r>
          </w:p>
        </w:tc>
        <w:tc>
          <w:tcPr>
            <w:tcW w:w="5670" w:type="dxa"/>
            <w:vAlign w:val="center"/>
          </w:tcPr>
          <w:p>
            <w:pPr>
              <w:spacing w:line="360" w:lineRule="auto"/>
              <w:rPr>
                <w:rFonts w:hint="eastAsia" w:eastAsia="宋体"/>
                <w:color w:val="000000"/>
                <w:sz w:val="21"/>
                <w:szCs w:val="21"/>
                <w:lang w:eastAsia="zh-CN"/>
              </w:rPr>
            </w:pPr>
            <w:r>
              <w:rPr>
                <w:color w:val="000000"/>
                <w:sz w:val="21"/>
                <w:szCs w:val="21"/>
              </w:rPr>
              <w:t>考察档案出入库、前处理、拆卷、扫描、影像处理、</w:t>
            </w:r>
            <w:r>
              <w:rPr>
                <w:rFonts w:hint="eastAsia"/>
                <w:color w:val="000000"/>
                <w:sz w:val="21"/>
                <w:szCs w:val="21"/>
              </w:rPr>
              <w:t>OCR</w:t>
            </w:r>
            <w:r>
              <w:rPr>
                <w:color w:val="000000"/>
                <w:sz w:val="21"/>
                <w:szCs w:val="21"/>
              </w:rPr>
              <w:t>识别、图像数据挂接、装订等流程的设计和相应的管理制度</w:t>
            </w:r>
            <w:r>
              <w:rPr>
                <w:rFonts w:hint="eastAsia"/>
                <w:color w:val="000000"/>
                <w:sz w:val="21"/>
                <w:szCs w:val="21"/>
              </w:rPr>
              <w:t>的完整性和合理性，根据投标文件响应情况横向比较打分</w:t>
            </w:r>
            <w:r>
              <w:rPr>
                <w:color w:val="000000"/>
                <w:sz w:val="21"/>
                <w:szCs w:val="21"/>
              </w:rPr>
              <w:t>。</w:t>
            </w:r>
            <w:r>
              <w:rPr>
                <w:rFonts w:hint="eastAsia" w:ascii="Times New Roman" w:hAnsi="Times New Roman" w:eastAsia="宋体" w:cs="Times New Roman"/>
                <w:color w:val="000000"/>
                <w:sz w:val="21"/>
                <w:szCs w:val="21"/>
                <w:lang w:val="en-US" w:eastAsia="zh-CN"/>
              </w:rPr>
              <w:t>本项最高得</w:t>
            </w:r>
            <w:r>
              <w:rPr>
                <w:rFonts w:hint="eastAsia"/>
                <w:color w:val="000000"/>
                <w:sz w:val="21"/>
                <w:szCs w:val="21"/>
              </w:rPr>
              <w:t>15分</w:t>
            </w:r>
            <w:r>
              <w:rPr>
                <w:rFonts w:hint="eastAsia"/>
                <w:color w:val="000000"/>
                <w:sz w:val="21"/>
                <w:szCs w:val="21"/>
                <w:lang w:eastAsia="zh-CN"/>
              </w:rPr>
              <w:t>。</w:t>
            </w:r>
          </w:p>
        </w:tc>
        <w:tc>
          <w:tcPr>
            <w:tcW w:w="1080" w:type="dxa"/>
            <w:vAlign w:val="center"/>
          </w:tcPr>
          <w:p>
            <w:pPr>
              <w:snapToGrid w:val="0"/>
              <w:spacing w:line="360" w:lineRule="auto"/>
              <w:jc w:val="center"/>
              <w:rPr>
                <w:rFonts w:hint="eastAsia" w:ascii="宋体" w:hAnsi="宋体"/>
                <w:color w:val="000000"/>
                <w:sz w:val="21"/>
                <w:szCs w:val="21"/>
              </w:rPr>
            </w:pPr>
            <w:r>
              <w:rPr>
                <w:rFonts w:hint="eastAsia" w:ascii="宋体" w:hAnsi="宋体"/>
                <w:color w:val="00000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trPr>
        <w:tc>
          <w:tcPr>
            <w:tcW w:w="806" w:type="dxa"/>
            <w:vMerge w:val="continue"/>
            <w:vAlign w:val="center"/>
          </w:tcPr>
          <w:p>
            <w:pPr>
              <w:snapToGrid w:val="0"/>
              <w:spacing w:line="360" w:lineRule="auto"/>
              <w:rPr>
                <w:rFonts w:hint="eastAsia" w:ascii="宋体" w:hAnsi="宋体"/>
                <w:color w:val="000000"/>
                <w:sz w:val="24"/>
                <w:szCs w:val="24"/>
              </w:rPr>
            </w:pPr>
          </w:p>
        </w:tc>
        <w:tc>
          <w:tcPr>
            <w:tcW w:w="1670" w:type="dxa"/>
            <w:vAlign w:val="center"/>
          </w:tcPr>
          <w:p>
            <w:pPr>
              <w:spacing w:line="360" w:lineRule="auto"/>
              <w:rPr>
                <w:bCs/>
                <w:color w:val="000000"/>
                <w:sz w:val="21"/>
                <w:szCs w:val="21"/>
              </w:rPr>
            </w:pPr>
            <w:r>
              <w:rPr>
                <w:rFonts w:hint="eastAsia"/>
                <w:bCs/>
                <w:color w:val="000000"/>
                <w:sz w:val="21"/>
                <w:szCs w:val="21"/>
              </w:rPr>
              <w:t>2、</w:t>
            </w:r>
            <w:r>
              <w:rPr>
                <w:bCs/>
                <w:color w:val="000000"/>
                <w:sz w:val="21"/>
                <w:szCs w:val="21"/>
              </w:rPr>
              <w:t>质量检验和保障措施</w:t>
            </w:r>
          </w:p>
        </w:tc>
        <w:tc>
          <w:tcPr>
            <w:tcW w:w="5670" w:type="dxa"/>
            <w:vAlign w:val="center"/>
          </w:tcPr>
          <w:p>
            <w:pPr>
              <w:spacing w:line="360" w:lineRule="auto"/>
              <w:rPr>
                <w:color w:val="000000"/>
                <w:sz w:val="21"/>
                <w:szCs w:val="21"/>
              </w:rPr>
            </w:pPr>
            <w:r>
              <w:rPr>
                <w:rFonts w:hint="eastAsia"/>
                <w:sz w:val="21"/>
                <w:szCs w:val="21"/>
                <w:lang w:val="en-US" w:eastAsia="zh-CN"/>
              </w:rPr>
              <w:t>考察</w:t>
            </w:r>
            <w:r>
              <w:rPr>
                <w:sz w:val="21"/>
                <w:szCs w:val="21"/>
              </w:rPr>
              <w:t>投标人对本项目的分析了解、工作计划、管理、过程控制、质量保证等主要环节的项目实施方案的完整性、科学性、合理性综合打分，</w:t>
            </w:r>
            <w:r>
              <w:rPr>
                <w:rFonts w:hint="eastAsia" w:ascii="Times New Roman" w:hAnsi="Times New Roman" w:eastAsia="宋体" w:cs="Times New Roman"/>
                <w:color w:val="000000"/>
                <w:sz w:val="21"/>
                <w:szCs w:val="21"/>
                <w:lang w:val="en-US" w:eastAsia="zh-CN"/>
              </w:rPr>
              <w:t>本项最高得10分，根据具体质检方案</w:t>
            </w:r>
            <w:r>
              <w:rPr>
                <w:rFonts w:hint="eastAsia" w:ascii="Times New Roman" w:hAnsi="Times New Roman" w:eastAsia="宋体" w:cs="Times New Roman"/>
                <w:color w:val="000000"/>
                <w:sz w:val="21"/>
                <w:szCs w:val="21"/>
              </w:rPr>
              <w:t>横向比较打分。</w:t>
            </w:r>
          </w:p>
        </w:tc>
        <w:tc>
          <w:tcPr>
            <w:tcW w:w="1080" w:type="dxa"/>
            <w:vAlign w:val="center"/>
          </w:tcPr>
          <w:p>
            <w:pPr>
              <w:snapToGrid w:val="0"/>
              <w:spacing w:line="360" w:lineRule="auto"/>
              <w:jc w:val="center"/>
              <w:rPr>
                <w:rFonts w:hint="eastAsia" w:ascii="宋体" w:hAnsi="宋体"/>
                <w:color w:val="000000"/>
                <w:sz w:val="21"/>
                <w:szCs w:val="21"/>
                <w:highlight w:val="none"/>
              </w:rPr>
            </w:pPr>
            <w:r>
              <w:rPr>
                <w:rFonts w:hint="eastAsia" w:ascii="宋体" w:hAnsi="宋体"/>
                <w:color w:val="000000"/>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3" w:hRule="atLeast"/>
        </w:trPr>
        <w:tc>
          <w:tcPr>
            <w:tcW w:w="806" w:type="dxa"/>
            <w:vMerge w:val="continue"/>
            <w:vAlign w:val="center"/>
          </w:tcPr>
          <w:p>
            <w:pPr>
              <w:snapToGrid w:val="0"/>
              <w:spacing w:line="360" w:lineRule="auto"/>
              <w:rPr>
                <w:rFonts w:hint="eastAsia" w:ascii="宋体" w:hAnsi="宋体"/>
                <w:color w:val="000000"/>
                <w:sz w:val="24"/>
                <w:szCs w:val="24"/>
              </w:rPr>
            </w:pPr>
          </w:p>
        </w:tc>
        <w:tc>
          <w:tcPr>
            <w:tcW w:w="1670" w:type="dxa"/>
            <w:vAlign w:val="center"/>
          </w:tcPr>
          <w:p>
            <w:pPr>
              <w:spacing w:line="360" w:lineRule="auto"/>
              <w:rPr>
                <w:bCs/>
                <w:color w:val="000000"/>
                <w:sz w:val="21"/>
                <w:szCs w:val="21"/>
              </w:rPr>
            </w:pPr>
            <w:r>
              <w:rPr>
                <w:rFonts w:hint="eastAsia"/>
                <w:bCs/>
                <w:color w:val="000000"/>
                <w:sz w:val="21"/>
                <w:szCs w:val="21"/>
                <w:lang w:val="en-US" w:eastAsia="zh-CN"/>
              </w:rPr>
              <w:t>3</w:t>
            </w:r>
            <w:r>
              <w:rPr>
                <w:rFonts w:hint="eastAsia"/>
                <w:bCs/>
                <w:color w:val="000000"/>
                <w:sz w:val="21"/>
                <w:szCs w:val="21"/>
              </w:rPr>
              <w:t>、</w:t>
            </w:r>
            <w:r>
              <w:rPr>
                <w:bCs/>
                <w:color w:val="000000"/>
                <w:sz w:val="21"/>
                <w:szCs w:val="21"/>
              </w:rPr>
              <w:t>安全、保密措施</w:t>
            </w:r>
          </w:p>
        </w:tc>
        <w:tc>
          <w:tcPr>
            <w:tcW w:w="5670" w:type="dxa"/>
            <w:vAlign w:val="center"/>
          </w:tcPr>
          <w:p>
            <w:pPr>
              <w:spacing w:line="360" w:lineRule="auto"/>
              <w:rPr>
                <w:color w:val="000000"/>
                <w:sz w:val="21"/>
                <w:szCs w:val="21"/>
              </w:rPr>
            </w:pPr>
            <w:r>
              <w:rPr>
                <w:rFonts w:hint="eastAsia" w:ascii="Times New Roman" w:hAnsi="Times New Roman" w:eastAsia="宋体" w:cs="Times New Roman"/>
                <w:color w:val="000000"/>
                <w:sz w:val="21"/>
                <w:szCs w:val="21"/>
                <w:lang w:val="en-US" w:eastAsia="zh-CN"/>
              </w:rPr>
              <w:t>考察</w:t>
            </w:r>
            <w:r>
              <w:rPr>
                <w:rFonts w:hint="eastAsia" w:ascii="Times New Roman" w:hAnsi="Times New Roman" w:eastAsia="宋体" w:cs="Times New Roman"/>
                <w:color w:val="000000"/>
                <w:sz w:val="21"/>
                <w:szCs w:val="21"/>
              </w:rPr>
              <w:t>投标人提供的本项目职责制度、工作程序、保密措施、安全保证、应急措施方案综合评分</w:t>
            </w:r>
            <w:r>
              <w:rPr>
                <w:rFonts w:hint="eastAsia" w:ascii="Times New Roman" w:hAnsi="Times New Roman" w:eastAsia="宋体" w:cs="Times New Roman"/>
                <w:color w:val="000000"/>
                <w:sz w:val="21"/>
                <w:szCs w:val="21"/>
                <w:lang w:eastAsia="zh-CN"/>
              </w:rPr>
              <w:t>，</w:t>
            </w:r>
            <w:r>
              <w:rPr>
                <w:rFonts w:hint="eastAsia" w:ascii="Times New Roman" w:hAnsi="Times New Roman" w:eastAsia="宋体" w:cs="Times New Roman"/>
                <w:color w:val="000000"/>
                <w:sz w:val="21"/>
                <w:szCs w:val="21"/>
                <w:lang w:val="en-US" w:eastAsia="zh-CN"/>
              </w:rPr>
              <w:t>本项最高得5分，根据具体安全保密方案</w:t>
            </w:r>
            <w:r>
              <w:rPr>
                <w:rFonts w:hint="eastAsia" w:ascii="Times New Roman" w:hAnsi="Times New Roman" w:eastAsia="宋体" w:cs="Times New Roman"/>
                <w:color w:val="000000"/>
                <w:sz w:val="21"/>
                <w:szCs w:val="21"/>
              </w:rPr>
              <w:t>横向比较打分。</w:t>
            </w:r>
          </w:p>
        </w:tc>
        <w:tc>
          <w:tcPr>
            <w:tcW w:w="1080" w:type="dxa"/>
            <w:vAlign w:val="center"/>
          </w:tcPr>
          <w:p>
            <w:pPr>
              <w:snapToGrid w:val="0"/>
              <w:spacing w:line="360" w:lineRule="auto"/>
              <w:jc w:val="center"/>
              <w:rPr>
                <w:rFonts w:hint="eastAsia" w:ascii="宋体" w:hAnsi="宋体" w:eastAsia="宋体"/>
                <w:color w:val="000000"/>
                <w:sz w:val="21"/>
                <w:szCs w:val="21"/>
                <w:highlight w:val="none"/>
                <w:lang w:eastAsia="zh-CN"/>
              </w:rPr>
            </w:pPr>
            <w:r>
              <w:rPr>
                <w:rFonts w:hint="eastAsia" w:ascii="宋体" w:hAnsi="宋体"/>
                <w:color w:val="000000"/>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 w:hRule="atLeast"/>
        </w:trPr>
        <w:tc>
          <w:tcPr>
            <w:tcW w:w="806" w:type="dxa"/>
            <w:vMerge w:val="continue"/>
            <w:vAlign w:val="center"/>
          </w:tcPr>
          <w:p>
            <w:pPr>
              <w:snapToGrid w:val="0"/>
              <w:spacing w:line="360" w:lineRule="auto"/>
              <w:rPr>
                <w:rFonts w:hint="eastAsia" w:ascii="宋体" w:hAnsi="宋体"/>
                <w:color w:val="000000"/>
                <w:sz w:val="24"/>
                <w:szCs w:val="24"/>
              </w:rPr>
            </w:pPr>
          </w:p>
        </w:tc>
        <w:tc>
          <w:tcPr>
            <w:tcW w:w="1670" w:type="dxa"/>
            <w:vAlign w:val="center"/>
          </w:tcPr>
          <w:p>
            <w:pPr>
              <w:spacing w:line="360" w:lineRule="auto"/>
              <w:rPr>
                <w:bCs/>
                <w:color w:val="000000"/>
                <w:sz w:val="21"/>
                <w:szCs w:val="21"/>
              </w:rPr>
            </w:pPr>
            <w:r>
              <w:rPr>
                <w:rFonts w:hint="eastAsia"/>
                <w:bCs/>
                <w:color w:val="000000"/>
                <w:sz w:val="21"/>
                <w:szCs w:val="21"/>
                <w:lang w:val="en-US" w:eastAsia="zh-CN"/>
              </w:rPr>
              <w:t>4</w:t>
            </w:r>
            <w:r>
              <w:rPr>
                <w:rFonts w:hint="eastAsia"/>
                <w:bCs/>
                <w:color w:val="000000"/>
                <w:sz w:val="21"/>
                <w:szCs w:val="21"/>
              </w:rPr>
              <w:t>、</w:t>
            </w:r>
            <w:r>
              <w:rPr>
                <w:bCs/>
                <w:color w:val="000000"/>
                <w:sz w:val="21"/>
                <w:szCs w:val="21"/>
              </w:rPr>
              <w:t>售后服务</w:t>
            </w:r>
          </w:p>
        </w:tc>
        <w:tc>
          <w:tcPr>
            <w:tcW w:w="5670" w:type="dxa"/>
            <w:vAlign w:val="center"/>
          </w:tcPr>
          <w:p>
            <w:pPr>
              <w:spacing w:line="360" w:lineRule="auto"/>
              <w:rPr>
                <w:rFonts w:hint="default" w:eastAsia="宋体"/>
                <w:sz w:val="21"/>
                <w:szCs w:val="21"/>
                <w:lang w:val="en-US" w:eastAsia="zh-CN"/>
              </w:rPr>
            </w:pPr>
            <w:r>
              <w:rPr>
                <w:rFonts w:hint="eastAsia" w:ascii="Times New Roman" w:hAnsi="Times New Roman" w:eastAsia="宋体" w:cs="Times New Roman"/>
                <w:color w:val="000000"/>
                <w:sz w:val="21"/>
                <w:szCs w:val="21"/>
                <w:lang w:val="en-US" w:eastAsia="zh-CN"/>
              </w:rPr>
              <w:t>考察</w:t>
            </w:r>
            <w:r>
              <w:rPr>
                <w:rFonts w:ascii="Times New Roman" w:hAnsi="Times New Roman" w:eastAsia="宋体" w:cs="Times New Roman"/>
                <w:color w:val="000000"/>
                <w:sz w:val="21"/>
                <w:szCs w:val="21"/>
              </w:rPr>
              <w:t>投标人提供的售后服务方案（如培训体系及培训方案、服务体系、服务内容、故障解决方案、专业技术人员保障及服务电话）进行评分</w:t>
            </w:r>
            <w:r>
              <w:rPr>
                <w:rFonts w:hint="eastAsia" w:ascii="Times New Roman" w:hAnsi="Times New Roman" w:eastAsia="宋体" w:cs="Times New Roman"/>
                <w:color w:val="000000"/>
                <w:sz w:val="21"/>
                <w:szCs w:val="21"/>
                <w:lang w:eastAsia="zh-CN"/>
              </w:rPr>
              <w:t>，</w:t>
            </w:r>
            <w:r>
              <w:rPr>
                <w:rFonts w:hint="eastAsia" w:ascii="Times New Roman" w:hAnsi="Times New Roman" w:eastAsia="宋体" w:cs="Times New Roman"/>
                <w:color w:val="000000"/>
                <w:sz w:val="21"/>
                <w:szCs w:val="21"/>
                <w:lang w:val="en-US" w:eastAsia="zh-CN"/>
              </w:rPr>
              <w:t>本项最高得10分，根据具体售后服务方案</w:t>
            </w:r>
            <w:r>
              <w:rPr>
                <w:rFonts w:hint="eastAsia" w:ascii="Times New Roman" w:hAnsi="Times New Roman" w:eastAsia="宋体" w:cs="Times New Roman"/>
                <w:color w:val="000000"/>
                <w:sz w:val="21"/>
                <w:szCs w:val="21"/>
              </w:rPr>
              <w:t>横向比较打分</w:t>
            </w:r>
            <w:r>
              <w:rPr>
                <w:rFonts w:ascii="Times New Roman" w:hAnsi="Times New Roman" w:eastAsia="宋体" w:cs="Times New Roman"/>
                <w:color w:val="000000"/>
                <w:sz w:val="21"/>
                <w:szCs w:val="21"/>
              </w:rPr>
              <w:t>。</w:t>
            </w:r>
            <w:r>
              <w:rPr>
                <w:rFonts w:hint="eastAsia" w:ascii="Times New Roman" w:hAnsi="Times New Roman" w:eastAsia="宋体" w:cs="Times New Roman"/>
                <w:color w:val="000000"/>
                <w:sz w:val="21"/>
                <w:szCs w:val="21"/>
                <w:lang w:eastAsia="zh-CN"/>
              </w:rPr>
              <w:t>（</w:t>
            </w:r>
            <w:r>
              <w:rPr>
                <w:rFonts w:ascii="Times New Roman" w:hAnsi="Times New Roman" w:eastAsia="宋体" w:cs="Times New Roman"/>
                <w:color w:val="000000"/>
                <w:sz w:val="21"/>
                <w:szCs w:val="21"/>
              </w:rPr>
              <w:t>质保期</w:t>
            </w:r>
            <w:r>
              <w:rPr>
                <w:rFonts w:hint="eastAsia" w:ascii="Times New Roman" w:hAnsi="Times New Roman" w:eastAsia="宋体" w:cs="Times New Roman"/>
                <w:color w:val="000000"/>
                <w:sz w:val="21"/>
                <w:szCs w:val="21"/>
              </w:rPr>
              <w:t>少于</w:t>
            </w:r>
            <w:r>
              <w:rPr>
                <w:rFonts w:ascii="Times New Roman" w:hAnsi="Times New Roman" w:eastAsia="宋体" w:cs="Times New Roman"/>
                <w:color w:val="000000"/>
                <w:sz w:val="21"/>
                <w:szCs w:val="21"/>
              </w:rPr>
              <w:t>1年的</w:t>
            </w:r>
            <w:r>
              <w:rPr>
                <w:rFonts w:hint="eastAsia" w:ascii="Times New Roman" w:hAnsi="Times New Roman" w:eastAsia="宋体" w:cs="Times New Roman"/>
                <w:color w:val="000000"/>
                <w:sz w:val="21"/>
                <w:szCs w:val="21"/>
              </w:rPr>
              <w:t>不得分，</w:t>
            </w:r>
            <w:r>
              <w:rPr>
                <w:rFonts w:hint="eastAsia" w:ascii="Times New Roman" w:hAnsi="Times New Roman" w:eastAsia="宋体" w:cs="Times New Roman"/>
                <w:color w:val="000000"/>
                <w:sz w:val="21"/>
                <w:szCs w:val="21"/>
                <w:lang w:val="en-US" w:eastAsia="zh-CN"/>
              </w:rPr>
              <w:t>在本地没有常驻质保人员不得分。</w:t>
            </w:r>
            <w:r>
              <w:rPr>
                <w:rFonts w:hint="eastAsia" w:ascii="Times New Roman" w:hAnsi="Times New Roman" w:eastAsia="宋体" w:cs="Times New Roman"/>
                <w:color w:val="000000"/>
                <w:sz w:val="21"/>
                <w:szCs w:val="21"/>
                <w:lang w:eastAsia="zh-CN"/>
              </w:rPr>
              <w:t>）</w:t>
            </w:r>
          </w:p>
        </w:tc>
        <w:tc>
          <w:tcPr>
            <w:tcW w:w="1080" w:type="dxa"/>
            <w:vAlign w:val="center"/>
          </w:tcPr>
          <w:p>
            <w:pPr>
              <w:snapToGrid w:val="0"/>
              <w:spacing w:line="360" w:lineRule="auto"/>
              <w:jc w:val="center"/>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76" w:type="dxa"/>
            <w:gridSpan w:val="2"/>
            <w:vAlign w:val="center"/>
          </w:tcPr>
          <w:p>
            <w:pPr>
              <w:snapToGrid w:val="0"/>
              <w:spacing w:line="360" w:lineRule="auto"/>
              <w:jc w:val="center"/>
              <w:rPr>
                <w:rFonts w:hint="eastAsia" w:ascii="宋体" w:hAnsi="宋体"/>
                <w:b/>
                <w:color w:val="000000"/>
                <w:sz w:val="21"/>
                <w:szCs w:val="21"/>
              </w:rPr>
            </w:pPr>
            <w:r>
              <w:rPr>
                <w:rFonts w:hint="eastAsia" w:ascii="宋体" w:hAnsi="宋体"/>
                <w:b/>
                <w:color w:val="000000"/>
                <w:sz w:val="24"/>
                <w:szCs w:val="24"/>
              </w:rPr>
              <w:t>三、价格部分</w:t>
            </w:r>
            <w:r>
              <w:rPr>
                <w:rFonts w:hint="eastAsia" w:ascii="宋体" w:hAnsi="宋体"/>
                <w:b/>
                <w:color w:val="000000"/>
                <w:sz w:val="24"/>
                <w:szCs w:val="24"/>
                <w:lang w:val="en-US" w:eastAsia="zh-CN"/>
              </w:rPr>
              <w:t>2</w:t>
            </w:r>
            <w:r>
              <w:rPr>
                <w:rFonts w:hint="eastAsia" w:ascii="宋体" w:hAnsi="宋体"/>
                <w:b/>
                <w:color w:val="000000"/>
                <w:sz w:val="24"/>
                <w:szCs w:val="24"/>
              </w:rPr>
              <w:t>0分</w:t>
            </w:r>
          </w:p>
        </w:tc>
        <w:tc>
          <w:tcPr>
            <w:tcW w:w="5670" w:type="dxa"/>
            <w:vAlign w:val="center"/>
          </w:tcPr>
          <w:p>
            <w:pPr>
              <w:snapToGrid w:val="0"/>
              <w:spacing w:line="360" w:lineRule="auto"/>
              <w:rPr>
                <w:rFonts w:hint="eastAsia" w:ascii="宋体" w:hAnsi="宋体"/>
                <w:color w:val="000000"/>
                <w:sz w:val="21"/>
                <w:szCs w:val="21"/>
              </w:rPr>
            </w:pPr>
            <w:bookmarkStart w:id="9" w:name="_GoBack"/>
            <w:r>
              <w:rPr>
                <w:rFonts w:hint="eastAsia" w:ascii="宋体" w:hAnsi="宋体"/>
                <w:b/>
                <w:color w:val="000000"/>
                <w:sz w:val="21"/>
                <w:szCs w:val="21"/>
              </w:rPr>
              <w:t>报价满足磋商文件要求且报价最低的最后报价为评价基准价，其价格为满分。其他报价人的价格分统一按照下列公式计算：报价得分＝（评标基准价/磋商最后报价）</w:t>
            </w:r>
            <w:r>
              <w:rPr>
                <w:rFonts w:ascii="Arial" w:hAnsi="Arial" w:cs="Arial"/>
                <w:b/>
                <w:color w:val="000000"/>
                <w:sz w:val="21"/>
                <w:szCs w:val="21"/>
              </w:rPr>
              <w:t>×</w:t>
            </w:r>
            <w:r>
              <w:rPr>
                <w:rFonts w:hint="eastAsia" w:ascii="宋体" w:hAnsi="宋体"/>
                <w:b/>
                <w:color w:val="000000"/>
                <w:sz w:val="21"/>
                <w:szCs w:val="21"/>
                <w:lang w:val="en-US" w:eastAsia="zh-CN"/>
              </w:rPr>
              <w:t>2</w:t>
            </w:r>
            <w:r>
              <w:rPr>
                <w:rFonts w:hint="eastAsia" w:ascii="宋体" w:hAnsi="宋体"/>
                <w:b/>
                <w:color w:val="000000"/>
                <w:sz w:val="21"/>
                <w:szCs w:val="21"/>
              </w:rPr>
              <w:t>0%</w:t>
            </w:r>
            <w:r>
              <w:rPr>
                <w:rFonts w:ascii="Arial" w:hAnsi="Arial" w:cs="Arial"/>
                <w:b/>
                <w:color w:val="000000"/>
                <w:sz w:val="21"/>
                <w:szCs w:val="21"/>
              </w:rPr>
              <w:t>×</w:t>
            </w:r>
            <w:r>
              <w:rPr>
                <w:rFonts w:hint="eastAsia" w:ascii="宋体" w:hAnsi="宋体"/>
                <w:b/>
                <w:color w:val="000000"/>
                <w:sz w:val="21"/>
                <w:szCs w:val="21"/>
              </w:rPr>
              <w:t>100</w:t>
            </w:r>
            <w:bookmarkEnd w:id="9"/>
          </w:p>
        </w:tc>
        <w:tc>
          <w:tcPr>
            <w:tcW w:w="1080" w:type="dxa"/>
            <w:vAlign w:val="center"/>
          </w:tcPr>
          <w:p>
            <w:pPr>
              <w:snapToGrid w:val="0"/>
              <w:spacing w:line="360" w:lineRule="auto"/>
              <w:jc w:val="center"/>
              <w:rPr>
                <w:rFonts w:hint="default" w:ascii="宋体" w:hAnsi="宋体" w:eastAsia="宋体"/>
                <w:b/>
                <w:color w:val="000000"/>
                <w:sz w:val="21"/>
                <w:szCs w:val="21"/>
                <w:lang w:val="en-US" w:eastAsia="zh-CN"/>
              </w:rPr>
            </w:pPr>
            <w:r>
              <w:rPr>
                <w:rFonts w:hint="eastAsia" w:ascii="宋体" w:hAnsi="宋体"/>
                <w:b/>
                <w:color w:val="000000"/>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76" w:type="dxa"/>
            <w:gridSpan w:val="2"/>
            <w:vAlign w:val="center"/>
          </w:tcPr>
          <w:p>
            <w:pPr>
              <w:snapToGrid w:val="0"/>
              <w:spacing w:line="360" w:lineRule="auto"/>
              <w:jc w:val="center"/>
              <w:rPr>
                <w:rFonts w:hint="eastAsia" w:ascii="宋体" w:hAnsi="宋体"/>
                <w:b/>
                <w:color w:val="000000"/>
                <w:sz w:val="24"/>
                <w:szCs w:val="24"/>
              </w:rPr>
            </w:pPr>
            <w:r>
              <w:rPr>
                <w:rFonts w:hint="eastAsia" w:ascii="宋体" w:hAnsi="宋体"/>
                <w:b/>
                <w:bCs/>
                <w:color w:val="000000"/>
                <w:sz w:val="24"/>
                <w:szCs w:val="24"/>
              </w:rPr>
              <w:t>四</w:t>
            </w:r>
          </w:p>
        </w:tc>
        <w:tc>
          <w:tcPr>
            <w:tcW w:w="5670" w:type="dxa"/>
            <w:vAlign w:val="center"/>
          </w:tcPr>
          <w:p>
            <w:pPr>
              <w:snapToGrid w:val="0"/>
              <w:spacing w:line="360" w:lineRule="auto"/>
              <w:jc w:val="center"/>
              <w:rPr>
                <w:rFonts w:hint="eastAsia" w:ascii="宋体" w:hAnsi="宋体"/>
                <w:b/>
                <w:color w:val="000000"/>
                <w:sz w:val="24"/>
                <w:szCs w:val="24"/>
              </w:rPr>
            </w:pPr>
            <w:r>
              <w:rPr>
                <w:rFonts w:hint="eastAsia" w:ascii="宋体" w:hAnsi="宋体"/>
                <w:b/>
                <w:color w:val="000000"/>
                <w:sz w:val="24"/>
                <w:szCs w:val="24"/>
              </w:rPr>
              <w:t>总           分</w:t>
            </w:r>
          </w:p>
        </w:tc>
        <w:tc>
          <w:tcPr>
            <w:tcW w:w="1080" w:type="dxa"/>
            <w:vAlign w:val="center"/>
          </w:tcPr>
          <w:p>
            <w:pPr>
              <w:snapToGrid w:val="0"/>
              <w:spacing w:line="360" w:lineRule="auto"/>
              <w:jc w:val="center"/>
              <w:rPr>
                <w:rFonts w:hint="eastAsia" w:ascii="宋体" w:hAnsi="宋体"/>
                <w:b/>
                <w:color w:val="000000"/>
                <w:sz w:val="24"/>
                <w:szCs w:val="24"/>
              </w:rPr>
            </w:pPr>
            <w:r>
              <w:rPr>
                <w:rFonts w:hint="eastAsia" w:ascii="宋体" w:hAnsi="宋体"/>
                <w:b/>
                <w:color w:val="000000"/>
                <w:sz w:val="24"/>
                <w:szCs w:val="24"/>
              </w:rPr>
              <w:t>100分</w:t>
            </w:r>
          </w:p>
        </w:tc>
      </w:tr>
      <w:bookmarkEnd w:id="3"/>
      <w:bookmarkEnd w:id="4"/>
      <w:bookmarkEnd w:id="5"/>
      <w:bookmarkEnd w:id="6"/>
    </w:tbl>
    <w:p>
      <w:pPr>
        <w:tabs>
          <w:tab w:val="left" w:pos="142"/>
        </w:tabs>
        <w:spacing w:line="400" w:lineRule="exact"/>
        <w:ind w:firstLine="420" w:firstLineChars="200"/>
        <w:rPr>
          <w:rFonts w:ascii="宋体" w:hAnsi="宋体"/>
          <w:b/>
          <w:szCs w:val="21"/>
        </w:rPr>
      </w:pPr>
      <w:r>
        <w:rPr>
          <w:rFonts w:hint="eastAsia" w:ascii="宋体" w:hAnsi="宋体" w:cs="宋体"/>
          <w:bCs/>
          <w:szCs w:val="21"/>
        </w:rPr>
        <w:t>注：针对评分标准中评分的每一条，响应单位在响应文件中均应提供相关资料并做出相应说明供评委评判，不提供相关资料的视为不具备该项得分的条件；对于有原件备查要求的，相关原件（或公证件）必须在响应截止时间前携带至磋商现场，由</w:t>
      </w:r>
      <w:r>
        <w:rPr>
          <w:rFonts w:hint="eastAsia" w:ascii="宋体" w:hAnsi="宋体" w:cs="宋体"/>
          <w:bCs/>
          <w:color w:val="auto"/>
          <w:szCs w:val="21"/>
        </w:rPr>
        <w:t>代理机构</w:t>
      </w:r>
      <w:r>
        <w:rPr>
          <w:rFonts w:hint="eastAsia" w:ascii="宋体" w:hAnsi="宋体" w:cs="宋体"/>
          <w:bCs/>
          <w:szCs w:val="21"/>
        </w:rPr>
        <w:t>工作人员转交给评审小组，以备核实，否则对应评分项不得分。</w:t>
      </w:r>
    </w:p>
    <w:p>
      <w:pPr>
        <w:jc w:val="center"/>
        <w:rPr>
          <w:rFonts w:ascii="宋体" w:hAnsi="宋体"/>
          <w:b/>
          <w:bCs/>
          <w:sz w:val="32"/>
          <w:szCs w:val="32"/>
        </w:rPr>
      </w:pPr>
      <w:r>
        <w:rPr>
          <w:rFonts w:ascii="宋体" w:hAnsi="宋体"/>
        </w:rPr>
        <w:br w:type="page"/>
      </w:r>
      <w:r>
        <w:rPr>
          <w:rFonts w:ascii="宋体" w:hAnsi="宋体"/>
          <w:b/>
          <w:bCs/>
          <w:sz w:val="32"/>
          <w:szCs w:val="32"/>
        </w:rPr>
        <w:t>四、合同主要条款</w:t>
      </w:r>
    </w:p>
    <w:p>
      <w:pPr>
        <w:spacing w:line="360" w:lineRule="auto"/>
        <w:rPr>
          <w:rFonts w:ascii="宋体" w:hAnsi="宋体"/>
          <w:szCs w:val="21"/>
        </w:rPr>
      </w:pPr>
      <w:r>
        <w:rPr>
          <w:rFonts w:ascii="宋体" w:hAnsi="宋体"/>
          <w:szCs w:val="21"/>
        </w:rPr>
        <w:t xml:space="preserve">   甲方（采购人）：                                 单位地址：</w:t>
      </w:r>
    </w:p>
    <w:p>
      <w:pPr>
        <w:spacing w:line="360" w:lineRule="auto"/>
        <w:ind w:firstLine="315" w:firstLineChars="150"/>
        <w:rPr>
          <w:rFonts w:ascii="宋体" w:hAnsi="宋体"/>
          <w:szCs w:val="21"/>
        </w:rPr>
      </w:pPr>
      <w:r>
        <w:rPr>
          <w:rFonts w:ascii="宋体" w:hAnsi="宋体"/>
          <w:szCs w:val="21"/>
        </w:rPr>
        <w:t>乙方（供应商）：                                 单位地址：</w:t>
      </w:r>
    </w:p>
    <w:p>
      <w:pPr>
        <w:spacing w:line="360" w:lineRule="auto"/>
        <w:ind w:firstLine="315" w:firstLineChars="150"/>
        <w:rPr>
          <w:rFonts w:ascii="宋体" w:hAnsi="宋体"/>
          <w:szCs w:val="21"/>
        </w:rPr>
      </w:pPr>
      <w:r>
        <w:rPr>
          <w:rFonts w:ascii="宋体" w:hAnsi="宋体"/>
          <w:szCs w:val="21"/>
        </w:rPr>
        <w:t xml:space="preserve">签订日期：                                      </w:t>
      </w:r>
      <w:r>
        <w:rPr>
          <w:rFonts w:hint="eastAsia" w:ascii="宋体" w:hAnsi="宋体"/>
          <w:szCs w:val="21"/>
        </w:rPr>
        <w:t xml:space="preserve"> </w:t>
      </w:r>
      <w:r>
        <w:rPr>
          <w:rFonts w:ascii="宋体" w:hAnsi="宋体"/>
          <w:szCs w:val="21"/>
        </w:rPr>
        <w:t>签订地点：</w:t>
      </w:r>
    </w:p>
    <w:p>
      <w:pPr>
        <w:spacing w:line="400" w:lineRule="exact"/>
        <w:ind w:firstLine="420" w:firstLineChars="200"/>
        <w:rPr>
          <w:rFonts w:ascii="宋体" w:hAnsi="宋体" w:cs="仿宋_GB2312"/>
          <w:szCs w:val="21"/>
        </w:rPr>
      </w:pPr>
      <w:r>
        <w:rPr>
          <w:rFonts w:hint="eastAsia" w:ascii="宋体" w:hAnsi="宋体" w:cs="仿宋_GB2312"/>
          <w:szCs w:val="21"/>
        </w:rPr>
        <w:t>根据甲方申请并经财政局核准</w:t>
      </w:r>
      <w:r>
        <w:rPr>
          <w:rFonts w:hint="eastAsia" w:ascii="宋体" w:hAnsi="宋体" w:cs="仿宋_GB2312"/>
          <w:szCs w:val="21"/>
          <w:highlight w:val="none"/>
          <w:u w:val="single"/>
          <w:lang w:eastAsia="zh-CN"/>
        </w:rPr>
        <w:t>新沂市公共资源交易中心</w:t>
      </w:r>
      <w:r>
        <w:rPr>
          <w:rFonts w:hint="eastAsia" w:ascii="宋体" w:hAnsi="宋体" w:cs="仿宋_GB2312"/>
          <w:szCs w:val="21"/>
          <w:highlight w:val="none"/>
          <w:u w:val="single"/>
        </w:rPr>
        <w:t>档案整理及数字化服务项目</w:t>
      </w:r>
      <w:r>
        <w:rPr>
          <w:rFonts w:hint="eastAsia" w:ascii="宋体" w:hAnsi="宋体" w:cs="仿宋_GB2312"/>
          <w:szCs w:val="21"/>
          <w:highlight w:val="none"/>
        </w:rPr>
        <w:t>政府采购计划，依据甲方</w:t>
      </w:r>
      <w:r>
        <w:rPr>
          <w:rFonts w:hint="eastAsia" w:ascii="宋体" w:hAnsi="宋体" w:cs="仿宋_GB2312"/>
          <w:color w:val="auto"/>
          <w:szCs w:val="21"/>
          <w:highlight w:val="none"/>
        </w:rPr>
        <w:t>委托</w:t>
      </w:r>
      <w:r>
        <w:rPr>
          <w:rFonts w:hint="eastAsia" w:ascii="宋体" w:hAnsi="宋体" w:cs="仿宋_GB2312"/>
          <w:szCs w:val="21"/>
          <w:highlight w:val="none"/>
          <w:u w:val="none"/>
          <w:lang w:eastAsia="zh-CN"/>
        </w:rPr>
        <w:t>新沂市公共资源交易中心</w:t>
      </w:r>
      <w:r>
        <w:rPr>
          <w:rFonts w:hint="eastAsia" w:ascii="宋体" w:hAnsi="宋体" w:cs="仿宋_GB2312"/>
          <w:szCs w:val="21"/>
        </w:rPr>
        <w:t>进行本项目政府采购</w:t>
      </w:r>
      <w:r>
        <w:rPr>
          <w:rFonts w:hint="eastAsia" w:ascii="宋体" w:hAnsi="宋体" w:cs="仿宋_GB2312"/>
          <w:szCs w:val="21"/>
          <w:highlight w:val="none"/>
          <w:u w:val="single"/>
        </w:rPr>
        <w:t xml:space="preserve"> </w:t>
      </w:r>
      <w:r>
        <w:rPr>
          <w:rFonts w:hint="eastAsia" w:ascii="宋体" w:hAnsi="宋体" w:cs="仿宋_GB2312"/>
          <w:color w:val="auto"/>
          <w:szCs w:val="21"/>
          <w:highlight w:val="none"/>
          <w:u w:val="single"/>
        </w:rPr>
        <w:t>新采磋（2022）XYZYJY 1101</w:t>
      </w:r>
      <w:r>
        <w:rPr>
          <w:rFonts w:hint="eastAsia" w:ascii="宋体" w:hAnsi="宋体" w:cs="仿宋_GB2312"/>
          <w:szCs w:val="21"/>
        </w:rPr>
        <w:t>的成交结果，确定乙方为本次成交供应商，现依照磋商文件、乙方的响应文件及相关文件的内容，签订本合同书。</w:t>
      </w:r>
    </w:p>
    <w:p>
      <w:pPr>
        <w:numPr>
          <w:ilvl w:val="0"/>
          <w:numId w:val="2"/>
        </w:numPr>
        <w:tabs>
          <w:tab w:val="left" w:pos="540"/>
        </w:tabs>
        <w:spacing w:line="400" w:lineRule="exact"/>
        <w:ind w:left="540" w:hanging="540"/>
        <w:rPr>
          <w:rFonts w:ascii="宋体" w:hAnsi="宋体"/>
          <w:b/>
          <w:szCs w:val="21"/>
        </w:rPr>
      </w:pPr>
      <w:r>
        <w:rPr>
          <w:rFonts w:ascii="宋体" w:hAnsi="宋体"/>
          <w:b/>
          <w:szCs w:val="21"/>
        </w:rPr>
        <w:t>合同价格</w:t>
      </w:r>
    </w:p>
    <w:p>
      <w:pPr>
        <w:numPr>
          <w:ilvl w:val="1"/>
          <w:numId w:val="2"/>
        </w:numPr>
        <w:tabs>
          <w:tab w:val="left" w:pos="540"/>
        </w:tabs>
        <w:spacing w:line="400" w:lineRule="exact"/>
        <w:rPr>
          <w:rFonts w:ascii="宋体" w:hAnsi="宋体"/>
          <w:szCs w:val="21"/>
        </w:rPr>
      </w:pPr>
      <w:r>
        <w:rPr>
          <w:rFonts w:ascii="宋体" w:hAnsi="宋体"/>
          <w:szCs w:val="21"/>
        </w:rPr>
        <w:t>合同价格（大写）人民币</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整（￥：</w:t>
      </w:r>
      <w:r>
        <w:rPr>
          <w:rFonts w:hint="eastAsia" w:ascii="宋体" w:hAnsi="宋体"/>
          <w:szCs w:val="21"/>
          <w:u w:val="single"/>
        </w:rPr>
        <w:t xml:space="preserve">               ）</w:t>
      </w:r>
      <w:r>
        <w:rPr>
          <w:rFonts w:ascii="宋体" w:hAnsi="宋体"/>
          <w:szCs w:val="21"/>
        </w:rPr>
        <w:t>。实际包括劳务、制作、维保、安装、调试、集成、利润、税金、交通、食宿、加班、验收、检测合格交付使用前等一切费用。</w:t>
      </w:r>
    </w:p>
    <w:p>
      <w:pPr>
        <w:numPr>
          <w:ilvl w:val="1"/>
          <w:numId w:val="2"/>
        </w:numPr>
        <w:tabs>
          <w:tab w:val="left" w:pos="540"/>
          <w:tab w:val="clear" w:pos="567"/>
        </w:tabs>
        <w:spacing w:line="400" w:lineRule="exact"/>
        <w:ind w:left="540" w:hanging="540"/>
        <w:rPr>
          <w:rFonts w:ascii="宋体" w:hAnsi="宋体"/>
          <w:szCs w:val="21"/>
        </w:rPr>
      </w:pPr>
      <w:r>
        <w:rPr>
          <w:rFonts w:ascii="宋体" w:hAnsi="宋体"/>
          <w:szCs w:val="21"/>
        </w:rPr>
        <w:t>根据现行税法对甲方征收的与本合同有关的一切税费均由甲方承担；根据现行税法对乙方征收的与本合同有关的一切税费均由乙方承担。</w:t>
      </w:r>
    </w:p>
    <w:p>
      <w:pPr>
        <w:numPr>
          <w:ilvl w:val="0"/>
          <w:numId w:val="2"/>
        </w:numPr>
        <w:tabs>
          <w:tab w:val="left" w:pos="540"/>
        </w:tabs>
        <w:spacing w:line="400" w:lineRule="exact"/>
        <w:ind w:left="540" w:hanging="540"/>
        <w:rPr>
          <w:rFonts w:ascii="宋体" w:hAnsi="宋体" w:cs="仿宋_GB2312"/>
          <w:b/>
          <w:szCs w:val="21"/>
        </w:rPr>
      </w:pPr>
      <w:r>
        <w:rPr>
          <w:rFonts w:hint="eastAsia" w:ascii="宋体" w:hAnsi="宋体" w:cs="仿宋_GB2312"/>
          <w:b/>
          <w:szCs w:val="21"/>
        </w:rPr>
        <w:t>服务范围</w:t>
      </w:r>
    </w:p>
    <w:p>
      <w:pPr>
        <w:numPr>
          <w:ilvl w:val="1"/>
          <w:numId w:val="2"/>
        </w:numPr>
        <w:tabs>
          <w:tab w:val="left" w:pos="540"/>
        </w:tabs>
        <w:spacing w:line="400" w:lineRule="exact"/>
        <w:ind w:left="540" w:hanging="540"/>
        <w:rPr>
          <w:rFonts w:ascii="宋体" w:hAnsi="宋体" w:cs="仿宋_GB2312"/>
          <w:szCs w:val="21"/>
        </w:rPr>
      </w:pPr>
      <w:r>
        <w:rPr>
          <w:rFonts w:hint="eastAsia" w:ascii="宋体" w:hAnsi="宋体" w:cs="仿宋_GB2312"/>
          <w:szCs w:val="21"/>
        </w:rPr>
        <w:t>甲方聘请乙方提供以下服务：</w:t>
      </w:r>
    </w:p>
    <w:p>
      <w:pPr>
        <w:numPr>
          <w:ilvl w:val="4"/>
          <w:numId w:val="3"/>
        </w:numPr>
        <w:tabs>
          <w:tab w:val="left" w:pos="1134"/>
        </w:tabs>
        <w:spacing w:line="400" w:lineRule="exact"/>
        <w:ind w:left="1134" w:hanging="567"/>
        <w:rPr>
          <w:rFonts w:ascii="宋体" w:hAnsi="宋体" w:cs="仿宋_GB2312"/>
          <w:szCs w:val="21"/>
        </w:rPr>
      </w:pPr>
      <w:r>
        <w:rPr>
          <w:rFonts w:hint="eastAsia" w:ascii="宋体" w:hAnsi="宋体" w:cs="仿宋_GB2312"/>
          <w:szCs w:val="21"/>
        </w:rPr>
        <w:t>本合同项下的服务指：</w:t>
      </w:r>
      <w:r>
        <w:rPr>
          <w:rFonts w:hint="eastAsia" w:ascii="宋体" w:hAnsi="宋体" w:cs="仿宋_GB2312"/>
          <w:iCs/>
          <w:szCs w:val="21"/>
          <w:u w:val="single"/>
        </w:rPr>
        <w:t>（详见采购文件）</w:t>
      </w:r>
      <w:r>
        <w:rPr>
          <w:rFonts w:hint="eastAsia" w:ascii="宋体" w:hAnsi="宋体" w:cs="仿宋_GB2312"/>
          <w:szCs w:val="21"/>
        </w:rPr>
        <w:t>。</w:t>
      </w:r>
    </w:p>
    <w:p>
      <w:pPr>
        <w:numPr>
          <w:ilvl w:val="4"/>
          <w:numId w:val="3"/>
        </w:numPr>
        <w:tabs>
          <w:tab w:val="left" w:pos="1134"/>
        </w:tabs>
        <w:spacing w:line="400" w:lineRule="exact"/>
        <w:ind w:left="1134" w:hanging="567"/>
        <w:rPr>
          <w:rFonts w:ascii="宋体" w:hAnsi="宋体" w:cs="仿宋_GB2312"/>
          <w:szCs w:val="21"/>
        </w:rPr>
      </w:pPr>
      <w:r>
        <w:rPr>
          <w:rFonts w:hint="eastAsia" w:ascii="宋体" w:hAnsi="宋体" w:cs="仿宋_GB2312"/>
          <w:szCs w:val="21"/>
        </w:rPr>
        <w:t>服务内容：</w:t>
      </w:r>
      <w:r>
        <w:rPr>
          <w:rFonts w:hint="eastAsia" w:ascii="宋体" w:hAnsi="宋体" w:cs="仿宋_GB2312"/>
          <w:iCs/>
          <w:szCs w:val="21"/>
          <w:u w:val="single"/>
        </w:rPr>
        <w:t>（详见采购文件）</w:t>
      </w:r>
      <w:r>
        <w:rPr>
          <w:rFonts w:hint="eastAsia" w:ascii="宋体" w:hAnsi="宋体" w:cs="仿宋_GB2312"/>
          <w:szCs w:val="21"/>
        </w:rPr>
        <w:t>。</w:t>
      </w:r>
    </w:p>
    <w:p>
      <w:pPr>
        <w:numPr>
          <w:ilvl w:val="4"/>
          <w:numId w:val="3"/>
        </w:numPr>
        <w:tabs>
          <w:tab w:val="left" w:pos="1134"/>
        </w:tabs>
        <w:spacing w:line="400" w:lineRule="exact"/>
        <w:ind w:left="1134" w:hanging="567"/>
        <w:rPr>
          <w:rFonts w:ascii="宋体" w:hAnsi="宋体" w:cs="仿宋_GB2312"/>
          <w:szCs w:val="21"/>
        </w:rPr>
      </w:pPr>
      <w:r>
        <w:rPr>
          <w:rFonts w:hint="eastAsia" w:ascii="宋体" w:hAnsi="宋体" w:cs="仿宋_GB2312"/>
          <w:szCs w:val="21"/>
        </w:rPr>
        <w:t>交付期限：合同签订生效后，</w:t>
      </w:r>
      <w:r>
        <w:rPr>
          <w:rFonts w:hint="eastAsia" w:ascii="宋体" w:hAnsi="宋体" w:cs="仿宋_GB2312"/>
          <w:szCs w:val="21"/>
          <w:highlight w:val="none"/>
          <w:u w:val="single"/>
        </w:rPr>
        <w:t>202</w:t>
      </w:r>
      <w:r>
        <w:rPr>
          <w:rFonts w:hint="eastAsia" w:ascii="宋体" w:hAnsi="宋体" w:cs="仿宋_GB2312"/>
          <w:szCs w:val="21"/>
          <w:highlight w:val="none"/>
          <w:u w:val="single"/>
          <w:lang w:val="en-US" w:eastAsia="zh-CN"/>
        </w:rPr>
        <w:t>3</w:t>
      </w:r>
      <w:r>
        <w:rPr>
          <w:rFonts w:hint="eastAsia" w:ascii="宋体" w:hAnsi="宋体" w:cs="仿宋_GB2312"/>
          <w:szCs w:val="21"/>
          <w:highlight w:val="none"/>
          <w:u w:val="single"/>
        </w:rPr>
        <w:t>年</w:t>
      </w:r>
      <w:r>
        <w:rPr>
          <w:rFonts w:hint="eastAsia" w:ascii="宋体" w:hAnsi="宋体" w:cs="仿宋_GB2312"/>
          <w:szCs w:val="21"/>
          <w:highlight w:val="none"/>
          <w:u w:val="single"/>
          <w:lang w:val="en-US" w:eastAsia="zh-CN"/>
        </w:rPr>
        <w:t>3</w:t>
      </w:r>
      <w:r>
        <w:rPr>
          <w:rFonts w:hint="eastAsia" w:ascii="宋体" w:hAnsi="宋体" w:cs="仿宋_GB2312"/>
          <w:szCs w:val="21"/>
          <w:highlight w:val="none"/>
          <w:u w:val="single"/>
        </w:rPr>
        <w:t>月</w:t>
      </w:r>
      <w:r>
        <w:rPr>
          <w:rFonts w:hint="eastAsia" w:ascii="宋体" w:hAnsi="宋体" w:cs="仿宋_GB2312"/>
          <w:szCs w:val="21"/>
          <w:highlight w:val="none"/>
          <w:u w:val="single"/>
          <w:lang w:val="en-US" w:eastAsia="zh-CN"/>
        </w:rPr>
        <w:t>1</w:t>
      </w:r>
      <w:r>
        <w:rPr>
          <w:rFonts w:hint="eastAsia" w:ascii="宋体" w:hAnsi="宋体" w:cs="仿宋_GB2312"/>
          <w:szCs w:val="21"/>
          <w:highlight w:val="none"/>
          <w:u w:val="single"/>
        </w:rPr>
        <w:t>0日</w:t>
      </w:r>
      <w:r>
        <w:rPr>
          <w:rFonts w:hint="eastAsia" w:ascii="宋体" w:hAnsi="宋体" w:cs="仿宋_GB2312"/>
          <w:szCs w:val="21"/>
          <w:highlight w:val="none"/>
        </w:rPr>
        <w:t>前完成本次新沂市</w:t>
      </w:r>
      <w:r>
        <w:rPr>
          <w:rFonts w:hint="eastAsia" w:ascii="宋体" w:hAnsi="宋体" w:cs="仿宋_GB2312"/>
          <w:szCs w:val="21"/>
          <w:highlight w:val="none"/>
          <w:lang w:eastAsia="zh-CN"/>
        </w:rPr>
        <w:t>新沂市公共资源交易中心</w:t>
      </w:r>
      <w:r>
        <w:rPr>
          <w:rFonts w:hint="eastAsia" w:ascii="宋体" w:hAnsi="宋体" w:cs="仿宋_GB2312"/>
          <w:szCs w:val="21"/>
          <w:highlight w:val="none"/>
        </w:rPr>
        <w:t>档案整理及数字化服务项目服务工作。</w:t>
      </w:r>
    </w:p>
    <w:p>
      <w:pPr>
        <w:numPr>
          <w:ilvl w:val="0"/>
          <w:numId w:val="2"/>
        </w:numPr>
        <w:tabs>
          <w:tab w:val="left" w:pos="540"/>
        </w:tabs>
        <w:spacing w:line="400" w:lineRule="exact"/>
        <w:ind w:left="540" w:hanging="540"/>
        <w:rPr>
          <w:rFonts w:ascii="宋体" w:hAnsi="宋体" w:cs="仿宋_GB2312"/>
          <w:szCs w:val="21"/>
        </w:rPr>
      </w:pPr>
      <w:r>
        <w:rPr>
          <w:rFonts w:hint="eastAsia" w:ascii="宋体" w:hAnsi="宋体" w:cs="仿宋_GB2312"/>
          <w:szCs w:val="21"/>
        </w:rPr>
        <w:t>合同价格支付</w:t>
      </w:r>
    </w:p>
    <w:p>
      <w:pPr>
        <w:spacing w:line="360" w:lineRule="auto"/>
        <w:ind w:firstLine="420"/>
        <w:rPr>
          <w:rFonts w:ascii="宋体" w:hAnsi="宋体" w:cs="仿宋_GB2312"/>
          <w:color w:val="FF0000"/>
          <w:szCs w:val="21"/>
        </w:rPr>
      </w:pPr>
      <w:r>
        <w:rPr>
          <w:rFonts w:hint="eastAsia" w:ascii="宋体" w:hAnsi="宋体" w:cs="仿宋_GB2312"/>
          <w:color w:val="auto"/>
          <w:szCs w:val="21"/>
        </w:rPr>
        <w:t>支付步骤：</w:t>
      </w:r>
      <w:r>
        <w:rPr>
          <w:rFonts w:hint="eastAsia" w:ascii="宋体" w:hAnsi="宋体" w:cs="仿宋_GB2312"/>
          <w:color w:val="auto"/>
          <w:szCs w:val="21"/>
          <w:lang w:eastAsia="zh-CN"/>
        </w:rPr>
        <w:t>新沂市公共资源交易中心</w:t>
      </w:r>
      <w:r>
        <w:rPr>
          <w:rFonts w:hint="eastAsia" w:ascii="宋体" w:hAnsi="宋体" w:cs="仿宋_GB2312"/>
          <w:color w:val="auto"/>
          <w:szCs w:val="21"/>
        </w:rPr>
        <w:t>对档案验收合格，纸质和电子档案全部完成后，成交供应商提供正式发票，采购人根据考核状况支付至全款的95%，</w:t>
      </w:r>
      <w:r>
        <w:rPr>
          <w:rFonts w:hint="eastAsia" w:ascii="宋体" w:hAnsi="宋体" w:cs="仿宋_GB2312"/>
          <w:color w:val="auto"/>
          <w:szCs w:val="21"/>
          <w:lang w:val="en-US" w:eastAsia="zh-CN"/>
        </w:rPr>
        <w:t>5</w:t>
      </w:r>
      <w:r>
        <w:rPr>
          <w:rFonts w:hint="eastAsia" w:ascii="宋体" w:hAnsi="宋体" w:cs="仿宋_GB2312"/>
          <w:color w:val="auto"/>
          <w:szCs w:val="21"/>
        </w:rPr>
        <w:t>个月后付清余款。</w:t>
      </w:r>
    </w:p>
    <w:p>
      <w:pPr>
        <w:spacing w:line="360" w:lineRule="auto"/>
        <w:ind w:firstLine="420"/>
        <w:rPr>
          <w:rFonts w:ascii="宋体" w:hAnsi="宋体" w:cs="仿宋_GB2312"/>
          <w:szCs w:val="21"/>
        </w:rPr>
      </w:pPr>
      <w:r>
        <w:rPr>
          <w:rFonts w:ascii="宋体" w:hAnsi="宋体" w:cs="仿宋_GB2312"/>
          <w:szCs w:val="21"/>
        </w:rPr>
        <w:t>注：具体结算金额由甲方根据乙方实际工作量进行核算。</w:t>
      </w:r>
    </w:p>
    <w:p>
      <w:pPr>
        <w:numPr>
          <w:ilvl w:val="1"/>
          <w:numId w:val="2"/>
        </w:numPr>
        <w:tabs>
          <w:tab w:val="left" w:pos="630"/>
        </w:tabs>
        <w:spacing w:line="400" w:lineRule="exact"/>
        <w:rPr>
          <w:rFonts w:ascii="宋体" w:hAnsi="宋体" w:cs="仿宋_GB2312"/>
          <w:color w:val="auto"/>
          <w:szCs w:val="21"/>
        </w:rPr>
      </w:pPr>
      <w:r>
        <w:rPr>
          <w:rFonts w:hint="eastAsia" w:ascii="宋体" w:hAnsi="宋体" w:cs="仿宋_GB2312"/>
          <w:color w:val="auto"/>
          <w:szCs w:val="21"/>
        </w:rPr>
        <w:t>甲</w:t>
      </w:r>
      <w:r>
        <w:rPr>
          <w:rFonts w:ascii="宋体" w:hAnsi="宋体" w:cs="仿宋_GB2312"/>
          <w:color w:val="auto"/>
          <w:szCs w:val="21"/>
        </w:rPr>
        <w:t>方</w:t>
      </w:r>
      <w:r>
        <w:rPr>
          <w:rFonts w:hint="eastAsia" w:ascii="宋体" w:hAnsi="宋体" w:cs="仿宋_GB2312"/>
          <w:color w:val="auto"/>
          <w:szCs w:val="21"/>
        </w:rPr>
        <w:t>根据考核状况</w:t>
      </w:r>
      <w:r>
        <w:rPr>
          <w:rFonts w:hint="eastAsia" w:ascii="宋体" w:hAnsi="宋体" w:cs="仿宋_GB2312"/>
          <w:color w:val="auto"/>
          <w:szCs w:val="21"/>
          <w:lang w:eastAsia="zh-CN"/>
        </w:rPr>
        <w:t>（</w:t>
      </w:r>
      <w:r>
        <w:rPr>
          <w:rFonts w:hint="eastAsia" w:ascii="宋体" w:hAnsi="宋体" w:cs="仿宋_GB2312"/>
          <w:color w:val="auto"/>
          <w:szCs w:val="21"/>
          <w:lang w:val="en-US" w:eastAsia="zh-CN"/>
        </w:rPr>
        <w:t>95分</w:t>
      </w:r>
      <w:r>
        <w:rPr>
          <w:rFonts w:hint="eastAsia" w:ascii="宋体" w:hAnsi="宋体" w:cs="仿宋_GB2312"/>
          <w:color w:val="auto"/>
          <w:szCs w:val="21"/>
          <w:lang w:eastAsia="zh-CN"/>
        </w:rPr>
        <w:t>）</w:t>
      </w:r>
      <w:r>
        <w:rPr>
          <w:rFonts w:hint="eastAsia" w:ascii="宋体" w:hAnsi="宋体" w:cs="仿宋_GB2312"/>
          <w:color w:val="auto"/>
          <w:szCs w:val="21"/>
        </w:rPr>
        <w:t>支付至全款的95%，</w:t>
      </w:r>
      <w:r>
        <w:rPr>
          <w:rFonts w:hint="eastAsia" w:ascii="宋体" w:hAnsi="宋体" w:cs="仿宋_GB2312"/>
          <w:color w:val="auto"/>
          <w:szCs w:val="21"/>
          <w:lang w:val="en-US" w:eastAsia="zh-CN"/>
        </w:rPr>
        <w:t>5</w:t>
      </w:r>
      <w:r>
        <w:rPr>
          <w:rFonts w:hint="eastAsia" w:ascii="宋体" w:hAnsi="宋体" w:cs="仿宋_GB2312"/>
          <w:color w:val="auto"/>
          <w:szCs w:val="21"/>
        </w:rPr>
        <w:t>个月后付清余款。</w:t>
      </w:r>
    </w:p>
    <w:p>
      <w:pPr>
        <w:numPr>
          <w:ilvl w:val="1"/>
          <w:numId w:val="2"/>
        </w:numPr>
        <w:tabs>
          <w:tab w:val="left" w:pos="540"/>
        </w:tabs>
        <w:spacing w:line="400" w:lineRule="exact"/>
        <w:ind w:left="540" w:hanging="540"/>
        <w:rPr>
          <w:rFonts w:ascii="宋体" w:hAnsi="宋体"/>
          <w:szCs w:val="21"/>
        </w:rPr>
      </w:pPr>
      <w:r>
        <w:rPr>
          <w:rFonts w:hint="eastAsia" w:ascii="宋体" w:hAnsi="宋体" w:cs="仿宋_GB2312"/>
          <w:szCs w:val="21"/>
        </w:rPr>
        <w:t>乙方要求付款应提供以下资料：</w:t>
      </w:r>
    </w:p>
    <w:p>
      <w:pPr>
        <w:tabs>
          <w:tab w:val="left" w:pos="1080"/>
          <w:tab w:val="left" w:pos="2579"/>
        </w:tabs>
        <w:spacing w:line="400" w:lineRule="exact"/>
        <w:ind w:right="-153"/>
        <w:rPr>
          <w:rFonts w:ascii="宋体" w:hAnsi="宋体"/>
          <w:szCs w:val="21"/>
        </w:rPr>
      </w:pPr>
      <w:r>
        <w:rPr>
          <w:rFonts w:hint="eastAsia" w:ascii="宋体" w:hAnsi="宋体"/>
          <w:szCs w:val="21"/>
        </w:rPr>
        <w:t>（1）合格的</w:t>
      </w:r>
      <w:r>
        <w:rPr>
          <w:rFonts w:ascii="宋体" w:hAnsi="宋体"/>
          <w:szCs w:val="21"/>
        </w:rPr>
        <w:t>发票</w:t>
      </w:r>
      <w:r>
        <w:rPr>
          <w:rFonts w:hint="eastAsia" w:ascii="宋体" w:hAnsi="宋体"/>
          <w:szCs w:val="21"/>
        </w:rPr>
        <w:t>。</w:t>
      </w:r>
    </w:p>
    <w:p>
      <w:pPr>
        <w:tabs>
          <w:tab w:val="left" w:pos="1080"/>
          <w:tab w:val="left" w:pos="2579"/>
        </w:tabs>
        <w:spacing w:line="400" w:lineRule="exact"/>
        <w:ind w:right="-153"/>
        <w:rPr>
          <w:rFonts w:ascii="宋体" w:hAnsi="宋体"/>
          <w:szCs w:val="21"/>
        </w:rPr>
      </w:pPr>
      <w:r>
        <w:rPr>
          <w:rFonts w:hint="eastAsia" w:ascii="宋体" w:hAnsi="宋体"/>
          <w:szCs w:val="21"/>
        </w:rPr>
        <w:t>（2）由甲乙双方及采购代理机构签章的《履行验收报告》。</w:t>
      </w:r>
    </w:p>
    <w:p>
      <w:pPr>
        <w:numPr>
          <w:ilvl w:val="1"/>
          <w:numId w:val="2"/>
        </w:numPr>
        <w:tabs>
          <w:tab w:val="left" w:pos="540"/>
        </w:tabs>
        <w:spacing w:line="400" w:lineRule="exact"/>
        <w:ind w:left="540" w:hanging="540"/>
        <w:rPr>
          <w:rFonts w:ascii="宋体" w:hAnsi="宋体"/>
          <w:szCs w:val="21"/>
        </w:rPr>
      </w:pPr>
      <w:r>
        <w:rPr>
          <w:rFonts w:hint="eastAsia" w:ascii="宋体" w:hAnsi="宋体"/>
          <w:szCs w:val="21"/>
        </w:rPr>
        <w:t>支付方式：转帐。</w:t>
      </w:r>
    </w:p>
    <w:p>
      <w:pPr>
        <w:numPr>
          <w:ilvl w:val="0"/>
          <w:numId w:val="2"/>
        </w:numPr>
        <w:tabs>
          <w:tab w:val="left" w:pos="540"/>
        </w:tabs>
        <w:spacing w:line="400" w:lineRule="exact"/>
        <w:ind w:left="540" w:hanging="540"/>
        <w:rPr>
          <w:rFonts w:ascii="宋体" w:hAnsi="宋体"/>
          <w:b/>
          <w:szCs w:val="21"/>
        </w:rPr>
      </w:pPr>
      <w:r>
        <w:rPr>
          <w:rFonts w:hint="eastAsia" w:ascii="宋体" w:hAnsi="宋体"/>
          <w:b/>
          <w:szCs w:val="21"/>
        </w:rPr>
        <w:t>服务质量要求</w:t>
      </w:r>
    </w:p>
    <w:p>
      <w:pPr>
        <w:numPr>
          <w:ilvl w:val="1"/>
          <w:numId w:val="2"/>
        </w:numPr>
        <w:tabs>
          <w:tab w:val="left" w:pos="540"/>
        </w:tabs>
        <w:spacing w:line="400" w:lineRule="exact"/>
        <w:ind w:left="540" w:hanging="540"/>
        <w:rPr>
          <w:rFonts w:ascii="宋体" w:hAnsi="宋体"/>
          <w:szCs w:val="21"/>
        </w:rPr>
      </w:pPr>
      <w:r>
        <w:rPr>
          <w:rFonts w:hint="eastAsia" w:ascii="宋体" w:hAnsi="宋体"/>
          <w:szCs w:val="21"/>
        </w:rPr>
        <w:t>乙方应按磋商采购文件的有关规定提供合格的服务。</w:t>
      </w:r>
    </w:p>
    <w:p>
      <w:pPr>
        <w:numPr>
          <w:ilvl w:val="1"/>
          <w:numId w:val="2"/>
        </w:numPr>
        <w:tabs>
          <w:tab w:val="left" w:pos="540"/>
        </w:tabs>
        <w:spacing w:line="400" w:lineRule="exact"/>
        <w:ind w:left="540" w:hanging="540"/>
        <w:rPr>
          <w:rFonts w:ascii="宋体" w:hAnsi="宋体"/>
          <w:szCs w:val="21"/>
        </w:rPr>
      </w:pPr>
      <w:r>
        <w:rPr>
          <w:rFonts w:hint="eastAsia" w:ascii="宋体" w:hAnsi="宋体"/>
          <w:szCs w:val="21"/>
        </w:rPr>
        <w:t>除合同特殊条款规定外，合同条款中标的物的质量保证期均自标的物通过最终审批之日起计算。</w:t>
      </w:r>
    </w:p>
    <w:p>
      <w:pPr>
        <w:numPr>
          <w:ilvl w:val="1"/>
          <w:numId w:val="2"/>
        </w:numPr>
        <w:tabs>
          <w:tab w:val="left" w:pos="540"/>
        </w:tabs>
        <w:spacing w:line="400" w:lineRule="exact"/>
        <w:ind w:left="540" w:hanging="540"/>
        <w:rPr>
          <w:rFonts w:ascii="宋体" w:hAnsi="宋体"/>
          <w:szCs w:val="21"/>
        </w:rPr>
      </w:pPr>
      <w:r>
        <w:rPr>
          <w:rFonts w:hint="eastAsia" w:ascii="宋体" w:hAnsi="宋体"/>
          <w:szCs w:val="21"/>
        </w:rPr>
        <w:t>乙方应保证所提供标的物涉及到的知识产权是合法取得，并享有完整的知识产权，不会因为甲方的使用而被责令停止使用、追偿或要求赔偿损失，如出现此情况，一切经济和法律责任均由乙方承担。乙方应按磋商文件的有关规定提供合格的物，质量符合国际或国家通用标准。</w:t>
      </w:r>
    </w:p>
    <w:p>
      <w:pPr>
        <w:numPr>
          <w:ilvl w:val="0"/>
          <w:numId w:val="2"/>
        </w:numPr>
        <w:tabs>
          <w:tab w:val="left" w:pos="540"/>
        </w:tabs>
        <w:spacing w:line="400" w:lineRule="exact"/>
        <w:ind w:left="540" w:hanging="540"/>
        <w:rPr>
          <w:rFonts w:ascii="宋体" w:hAnsi="宋体"/>
          <w:b/>
          <w:szCs w:val="21"/>
        </w:rPr>
      </w:pPr>
      <w:r>
        <w:rPr>
          <w:rFonts w:hint="eastAsia" w:ascii="宋体" w:hAnsi="宋体"/>
          <w:b/>
          <w:szCs w:val="21"/>
        </w:rPr>
        <w:t>违约责任</w:t>
      </w:r>
    </w:p>
    <w:p>
      <w:pPr>
        <w:numPr>
          <w:ilvl w:val="1"/>
          <w:numId w:val="2"/>
        </w:numPr>
        <w:tabs>
          <w:tab w:val="left" w:pos="540"/>
        </w:tabs>
        <w:spacing w:line="400" w:lineRule="exact"/>
        <w:ind w:left="540" w:hanging="540"/>
        <w:rPr>
          <w:rFonts w:ascii="宋体" w:hAnsi="宋体"/>
          <w:szCs w:val="21"/>
        </w:rPr>
      </w:pPr>
      <w:r>
        <w:rPr>
          <w:rFonts w:hint="eastAsia" w:ascii="宋体" w:hAnsi="宋体"/>
          <w:szCs w:val="21"/>
        </w:rPr>
        <w:t>甲方违约责任及违约金支付：</w:t>
      </w:r>
    </w:p>
    <w:p>
      <w:pPr>
        <w:numPr>
          <w:ilvl w:val="0"/>
          <w:numId w:val="4"/>
        </w:numPr>
        <w:tabs>
          <w:tab w:val="left" w:pos="1080"/>
        </w:tabs>
        <w:spacing w:line="400" w:lineRule="exact"/>
        <w:ind w:left="1080" w:right="-153" w:hanging="540"/>
        <w:rPr>
          <w:rFonts w:ascii="宋体" w:hAnsi="宋体"/>
          <w:szCs w:val="21"/>
        </w:rPr>
      </w:pPr>
      <w:r>
        <w:rPr>
          <w:rFonts w:hint="eastAsia" w:ascii="宋体" w:hAnsi="宋体"/>
          <w:szCs w:val="21"/>
        </w:rPr>
        <w:t>在合同生效后，甲方无理由要求终止服务的，应向乙方偿付合同总价款的5%，作为违约金，违约金不足以补偿损失的，乙方有权要求甲方补足。</w:t>
      </w:r>
    </w:p>
    <w:p>
      <w:pPr>
        <w:numPr>
          <w:ilvl w:val="0"/>
          <w:numId w:val="4"/>
        </w:numPr>
        <w:tabs>
          <w:tab w:val="left" w:pos="1080"/>
        </w:tabs>
        <w:spacing w:line="400" w:lineRule="exact"/>
        <w:ind w:left="1080" w:right="-153" w:hanging="540"/>
        <w:rPr>
          <w:rFonts w:ascii="宋体" w:hAnsi="宋体"/>
          <w:szCs w:val="21"/>
        </w:rPr>
      </w:pPr>
      <w:r>
        <w:rPr>
          <w:rFonts w:hint="eastAsia" w:ascii="宋体" w:hAnsi="宋体"/>
          <w:szCs w:val="21"/>
        </w:rPr>
        <w:t>甲方逾期付款的应按照逾期付款金额的每天万分之四支付逾期付款违约金。</w:t>
      </w:r>
    </w:p>
    <w:p>
      <w:pPr>
        <w:numPr>
          <w:ilvl w:val="0"/>
          <w:numId w:val="4"/>
        </w:numPr>
        <w:tabs>
          <w:tab w:val="left" w:pos="1080"/>
        </w:tabs>
        <w:spacing w:line="400" w:lineRule="exact"/>
        <w:ind w:left="1080" w:right="-153" w:hanging="540"/>
        <w:rPr>
          <w:rFonts w:ascii="宋体" w:hAnsi="宋体"/>
          <w:szCs w:val="21"/>
        </w:rPr>
      </w:pPr>
      <w:r>
        <w:rPr>
          <w:rFonts w:hint="eastAsia" w:ascii="宋体" w:hAnsi="宋体"/>
          <w:szCs w:val="21"/>
        </w:rPr>
        <w:t xml:space="preserve">甲方违反合同规定，拒绝接受乙方提供服务，应当承担乙方由此造成的损失：                                         </w:t>
      </w:r>
    </w:p>
    <w:p>
      <w:pPr>
        <w:numPr>
          <w:ilvl w:val="1"/>
          <w:numId w:val="2"/>
        </w:numPr>
        <w:tabs>
          <w:tab w:val="left" w:pos="540"/>
        </w:tabs>
        <w:spacing w:line="400" w:lineRule="exact"/>
        <w:ind w:left="540" w:hanging="540"/>
        <w:rPr>
          <w:rFonts w:ascii="宋体" w:hAnsi="宋体"/>
          <w:szCs w:val="21"/>
        </w:rPr>
      </w:pPr>
      <w:r>
        <w:rPr>
          <w:rFonts w:hint="eastAsia" w:ascii="宋体" w:hAnsi="宋体"/>
          <w:szCs w:val="21"/>
        </w:rPr>
        <w:t>乙方违约责任及违约金支付：</w:t>
      </w:r>
    </w:p>
    <w:p>
      <w:pPr>
        <w:numPr>
          <w:ilvl w:val="0"/>
          <w:numId w:val="5"/>
        </w:numPr>
        <w:tabs>
          <w:tab w:val="left" w:pos="1080"/>
        </w:tabs>
        <w:spacing w:line="400" w:lineRule="exact"/>
        <w:ind w:left="1080" w:right="-153" w:hanging="540"/>
        <w:rPr>
          <w:rFonts w:ascii="宋体" w:hAnsi="宋体"/>
          <w:szCs w:val="21"/>
        </w:rPr>
      </w:pPr>
      <w:r>
        <w:rPr>
          <w:rFonts w:hint="eastAsia" w:ascii="宋体" w:hAnsi="宋体"/>
          <w:szCs w:val="21"/>
        </w:rPr>
        <w:t>乙方不能提供服务的，或服务不合格从而影响甲方按期正常使用的，应向甲方偿付合同总价款5%的违约金，违约金不足以补偿损失的甲方有权要求乙方补足。</w:t>
      </w:r>
    </w:p>
    <w:p>
      <w:pPr>
        <w:numPr>
          <w:ilvl w:val="0"/>
          <w:numId w:val="5"/>
        </w:numPr>
        <w:tabs>
          <w:tab w:val="left" w:pos="1080"/>
        </w:tabs>
        <w:spacing w:line="400" w:lineRule="exact"/>
        <w:ind w:left="1080" w:right="-153" w:hanging="540"/>
        <w:rPr>
          <w:rFonts w:ascii="宋体" w:hAnsi="宋体"/>
          <w:szCs w:val="21"/>
        </w:rPr>
      </w:pPr>
      <w:r>
        <w:rPr>
          <w:rFonts w:hint="eastAsia" w:ascii="宋体" w:hAnsi="宋体"/>
          <w:szCs w:val="21"/>
        </w:rPr>
        <w:t>乙方逾期提供服务的，应与甲方和政府采购管理部门协商，甲方仍需求的，乙方应立即提供服务按照逾期服务的每天万分之四支付逾期违约金，同时承担甲方因此遭致的损失费用。</w:t>
      </w:r>
    </w:p>
    <w:p>
      <w:pPr>
        <w:numPr>
          <w:ilvl w:val="0"/>
          <w:numId w:val="2"/>
        </w:numPr>
        <w:tabs>
          <w:tab w:val="left" w:pos="540"/>
        </w:tabs>
        <w:spacing w:line="400" w:lineRule="exact"/>
        <w:ind w:left="540" w:hanging="540"/>
        <w:rPr>
          <w:rFonts w:ascii="宋体" w:hAnsi="宋体"/>
          <w:b/>
          <w:szCs w:val="21"/>
        </w:rPr>
      </w:pPr>
      <w:r>
        <w:rPr>
          <w:rFonts w:hint="eastAsia" w:ascii="宋体" w:hAnsi="宋体"/>
          <w:b/>
          <w:szCs w:val="21"/>
        </w:rPr>
        <w:t>不可抗力</w:t>
      </w:r>
    </w:p>
    <w:p>
      <w:pPr>
        <w:numPr>
          <w:ilvl w:val="1"/>
          <w:numId w:val="2"/>
        </w:numPr>
        <w:tabs>
          <w:tab w:val="left" w:pos="540"/>
        </w:tabs>
        <w:spacing w:line="400" w:lineRule="exact"/>
        <w:ind w:left="540" w:hanging="540"/>
        <w:rPr>
          <w:rFonts w:ascii="宋体" w:hAnsi="宋体"/>
          <w:szCs w:val="21"/>
        </w:rPr>
      </w:pPr>
      <w:r>
        <w:rPr>
          <w:rFonts w:hint="eastAsia" w:ascii="宋体" w:hAnsi="宋体"/>
          <w:szCs w:val="21"/>
        </w:rPr>
        <w:t>因不可抗力不能履行合同的，根据不可抗力的影响，部分或者全部免除责任。但合同一方延迟履行后发生不可抗力的，不能免除责任。</w:t>
      </w:r>
    </w:p>
    <w:p>
      <w:pPr>
        <w:numPr>
          <w:ilvl w:val="1"/>
          <w:numId w:val="2"/>
        </w:numPr>
        <w:tabs>
          <w:tab w:val="left" w:pos="540"/>
        </w:tabs>
        <w:spacing w:line="400" w:lineRule="exact"/>
        <w:ind w:left="540" w:hanging="540"/>
        <w:rPr>
          <w:rFonts w:ascii="宋体" w:hAnsi="宋体"/>
          <w:szCs w:val="21"/>
        </w:rPr>
      </w:pPr>
      <w:r>
        <w:rPr>
          <w:rFonts w:hint="eastAsia" w:ascii="宋体" w:hAnsi="宋体"/>
          <w:szCs w:val="21"/>
        </w:rPr>
        <w:t>合同一方因不可抗力不能履行合同的，应当及时通知对方，以减轻可能给对方造成的损失，并应当在合理期限内提供证明。</w:t>
      </w:r>
    </w:p>
    <w:p>
      <w:pPr>
        <w:numPr>
          <w:ilvl w:val="0"/>
          <w:numId w:val="2"/>
        </w:numPr>
        <w:tabs>
          <w:tab w:val="left" w:pos="540"/>
        </w:tabs>
        <w:spacing w:line="400" w:lineRule="exact"/>
        <w:ind w:left="540" w:hanging="540"/>
        <w:rPr>
          <w:rFonts w:ascii="宋体" w:hAnsi="宋体"/>
          <w:b/>
          <w:szCs w:val="21"/>
        </w:rPr>
      </w:pPr>
      <w:r>
        <w:rPr>
          <w:rFonts w:hint="eastAsia" w:ascii="宋体" w:hAnsi="宋体"/>
          <w:b/>
          <w:szCs w:val="21"/>
        </w:rPr>
        <w:t>合同修改</w:t>
      </w:r>
    </w:p>
    <w:p>
      <w:pPr>
        <w:numPr>
          <w:ilvl w:val="1"/>
          <w:numId w:val="2"/>
        </w:numPr>
        <w:tabs>
          <w:tab w:val="left" w:pos="540"/>
        </w:tabs>
        <w:spacing w:line="400" w:lineRule="exact"/>
        <w:ind w:left="540" w:hanging="540"/>
        <w:rPr>
          <w:rFonts w:ascii="宋体" w:hAnsi="宋体"/>
          <w:szCs w:val="21"/>
        </w:rPr>
      </w:pPr>
      <w:r>
        <w:rPr>
          <w:rFonts w:hint="eastAsia" w:ascii="宋体" w:hAnsi="宋体"/>
          <w:szCs w:val="21"/>
        </w:rPr>
        <w:t>甲方和乙方都不得擅自变更本合同，但合同继续履行将损害国家和社会公共利益的除外。如必须对合同条款进行改动时，当事人双方须共同签署书面文件，做为合同的补充。</w:t>
      </w:r>
    </w:p>
    <w:p>
      <w:pPr>
        <w:numPr>
          <w:ilvl w:val="0"/>
          <w:numId w:val="2"/>
        </w:numPr>
        <w:tabs>
          <w:tab w:val="left" w:pos="540"/>
        </w:tabs>
        <w:spacing w:line="400" w:lineRule="exact"/>
        <w:ind w:left="540" w:hanging="540"/>
        <w:rPr>
          <w:rFonts w:ascii="宋体" w:hAnsi="宋体"/>
          <w:b/>
          <w:szCs w:val="21"/>
        </w:rPr>
      </w:pPr>
      <w:r>
        <w:rPr>
          <w:rFonts w:hint="eastAsia" w:ascii="宋体" w:hAnsi="宋体"/>
          <w:b/>
          <w:szCs w:val="21"/>
        </w:rPr>
        <w:t>转让和分包</w:t>
      </w:r>
    </w:p>
    <w:p>
      <w:pPr>
        <w:numPr>
          <w:ilvl w:val="1"/>
          <w:numId w:val="2"/>
        </w:numPr>
        <w:tabs>
          <w:tab w:val="left" w:pos="540"/>
        </w:tabs>
        <w:spacing w:line="400" w:lineRule="exact"/>
        <w:ind w:left="540" w:hanging="540"/>
        <w:rPr>
          <w:rFonts w:ascii="宋体" w:hAnsi="宋体"/>
          <w:szCs w:val="21"/>
        </w:rPr>
      </w:pPr>
      <w:r>
        <w:rPr>
          <w:rFonts w:hint="eastAsia" w:ascii="宋体" w:hAnsi="宋体"/>
          <w:szCs w:val="21"/>
        </w:rPr>
        <w:t>政府采购合同的部分和全部都不得转让。</w:t>
      </w:r>
    </w:p>
    <w:p>
      <w:pPr>
        <w:numPr>
          <w:ilvl w:val="0"/>
          <w:numId w:val="2"/>
        </w:numPr>
        <w:tabs>
          <w:tab w:val="left" w:pos="540"/>
        </w:tabs>
        <w:spacing w:line="400" w:lineRule="exact"/>
        <w:ind w:left="540" w:hanging="540"/>
        <w:rPr>
          <w:rFonts w:ascii="宋体" w:hAnsi="宋体"/>
          <w:b/>
          <w:szCs w:val="21"/>
        </w:rPr>
      </w:pPr>
      <w:r>
        <w:rPr>
          <w:rFonts w:hint="eastAsia" w:ascii="宋体" w:hAnsi="宋体"/>
          <w:b/>
          <w:szCs w:val="21"/>
        </w:rPr>
        <w:t>合同的解除</w:t>
      </w:r>
    </w:p>
    <w:p>
      <w:pPr>
        <w:numPr>
          <w:ilvl w:val="1"/>
          <w:numId w:val="2"/>
        </w:numPr>
        <w:tabs>
          <w:tab w:val="left" w:pos="540"/>
        </w:tabs>
        <w:spacing w:line="400" w:lineRule="exact"/>
        <w:ind w:left="540" w:hanging="540"/>
        <w:rPr>
          <w:rFonts w:ascii="宋体" w:hAnsi="宋体"/>
          <w:szCs w:val="21"/>
        </w:rPr>
      </w:pPr>
      <w:r>
        <w:rPr>
          <w:rFonts w:hint="eastAsia" w:ascii="宋体" w:hAnsi="宋体"/>
          <w:szCs w:val="21"/>
        </w:rPr>
        <w:t>有下列情形之一，合同一方可以解除合同：</w:t>
      </w:r>
    </w:p>
    <w:p>
      <w:pPr>
        <w:numPr>
          <w:ilvl w:val="0"/>
          <w:numId w:val="6"/>
        </w:numPr>
        <w:tabs>
          <w:tab w:val="left" w:pos="1080"/>
        </w:tabs>
        <w:spacing w:line="400" w:lineRule="exact"/>
        <w:ind w:left="1080" w:right="-153" w:hanging="540"/>
        <w:rPr>
          <w:rFonts w:ascii="宋体" w:hAnsi="宋体"/>
          <w:szCs w:val="21"/>
        </w:rPr>
      </w:pPr>
      <w:r>
        <w:rPr>
          <w:rFonts w:hint="eastAsia" w:ascii="宋体" w:hAnsi="宋体"/>
          <w:szCs w:val="21"/>
        </w:rPr>
        <w:t>因不可抗力致使不能实现合同目的，未受不可抗力影响的一方有权解除合同；</w:t>
      </w:r>
    </w:p>
    <w:p>
      <w:pPr>
        <w:numPr>
          <w:ilvl w:val="0"/>
          <w:numId w:val="6"/>
        </w:numPr>
        <w:tabs>
          <w:tab w:val="left" w:pos="1080"/>
        </w:tabs>
        <w:spacing w:line="400" w:lineRule="exact"/>
        <w:ind w:left="1080" w:right="-153" w:hanging="540"/>
        <w:rPr>
          <w:rFonts w:ascii="宋体" w:hAnsi="宋体"/>
          <w:szCs w:val="21"/>
        </w:rPr>
      </w:pPr>
      <w:r>
        <w:rPr>
          <w:rFonts w:hint="eastAsia" w:ascii="宋体" w:hAnsi="宋体"/>
          <w:szCs w:val="21"/>
        </w:rPr>
        <w:t>因合同一方违约导致合同不能履行，另一方有权解除合同。</w:t>
      </w:r>
    </w:p>
    <w:p>
      <w:pPr>
        <w:numPr>
          <w:ilvl w:val="1"/>
          <w:numId w:val="2"/>
        </w:numPr>
        <w:tabs>
          <w:tab w:val="left" w:pos="540"/>
        </w:tabs>
        <w:spacing w:line="400" w:lineRule="exact"/>
        <w:ind w:left="540" w:hanging="540"/>
        <w:rPr>
          <w:rFonts w:ascii="宋体" w:hAnsi="宋体"/>
          <w:szCs w:val="21"/>
        </w:rPr>
      </w:pPr>
      <w:r>
        <w:rPr>
          <w:rFonts w:hint="eastAsia" w:ascii="宋体" w:hAnsi="宋体"/>
          <w:szCs w:val="21"/>
        </w:rPr>
        <w:t>有权解除合同的一方，应当在违约事实或不可抗力发生之后三十天内书面通知对方以主张解除合同，合同在书面通知到达对方时解除。</w:t>
      </w:r>
    </w:p>
    <w:p>
      <w:pPr>
        <w:numPr>
          <w:ilvl w:val="0"/>
          <w:numId w:val="2"/>
        </w:numPr>
        <w:tabs>
          <w:tab w:val="left" w:pos="540"/>
        </w:tabs>
        <w:spacing w:line="400" w:lineRule="exact"/>
        <w:ind w:left="540" w:hanging="540"/>
        <w:rPr>
          <w:rFonts w:ascii="宋体" w:hAnsi="宋体"/>
          <w:b/>
          <w:szCs w:val="21"/>
        </w:rPr>
      </w:pPr>
      <w:r>
        <w:rPr>
          <w:rFonts w:hint="eastAsia" w:ascii="宋体" w:hAnsi="宋体"/>
          <w:b/>
          <w:szCs w:val="21"/>
        </w:rPr>
        <w:t>争议解决办法</w:t>
      </w:r>
    </w:p>
    <w:p>
      <w:pPr>
        <w:spacing w:line="400" w:lineRule="exact"/>
        <w:ind w:firstLine="539" w:firstLineChars="257"/>
        <w:rPr>
          <w:rFonts w:ascii="宋体" w:hAnsi="宋体"/>
          <w:szCs w:val="21"/>
        </w:rPr>
      </w:pPr>
      <w:r>
        <w:rPr>
          <w:rFonts w:hint="eastAsia" w:ascii="宋体" w:hAnsi="宋体"/>
          <w:szCs w:val="21"/>
        </w:rPr>
        <w:t>因本合同或与本合同有关的一切事项发生争议，由双方友好协商解决。协商不成的，任何一方均可选择以下方式解决：</w:t>
      </w:r>
    </w:p>
    <w:p>
      <w:pPr>
        <w:spacing w:line="400" w:lineRule="exact"/>
        <w:ind w:firstLine="539" w:firstLineChars="257"/>
        <w:jc w:val="left"/>
        <w:rPr>
          <w:rFonts w:ascii="宋体" w:hAnsi="宋体"/>
          <w:szCs w:val="21"/>
        </w:rPr>
      </w:pPr>
      <w:r>
        <w:rPr>
          <w:rFonts w:hint="eastAsia" w:ascii="宋体" w:hAnsi="宋体"/>
          <w:szCs w:val="21"/>
        </w:rPr>
        <w:t>方式一：双方达成仲裁协议，向约定的仲裁委员会申请仲裁，本合同约定的仲裁委员会是合同履约地仲裁机构；</w:t>
      </w:r>
    </w:p>
    <w:p>
      <w:pPr>
        <w:spacing w:line="400" w:lineRule="exact"/>
        <w:ind w:firstLine="539" w:firstLineChars="257"/>
        <w:rPr>
          <w:rFonts w:ascii="宋体" w:hAnsi="宋体"/>
          <w:szCs w:val="21"/>
        </w:rPr>
      </w:pPr>
      <w:r>
        <w:rPr>
          <w:rFonts w:hint="eastAsia" w:ascii="宋体" w:hAnsi="宋体"/>
          <w:szCs w:val="21"/>
        </w:rPr>
        <w:t>方式二：向甲方所在地的人民法院起诉。</w:t>
      </w:r>
    </w:p>
    <w:p>
      <w:pPr>
        <w:numPr>
          <w:ilvl w:val="0"/>
          <w:numId w:val="2"/>
        </w:numPr>
        <w:tabs>
          <w:tab w:val="left" w:pos="540"/>
        </w:tabs>
        <w:spacing w:line="400" w:lineRule="exact"/>
        <w:ind w:left="540" w:hanging="540"/>
        <w:rPr>
          <w:rFonts w:ascii="宋体" w:hAnsi="宋体"/>
          <w:b/>
          <w:szCs w:val="21"/>
        </w:rPr>
      </w:pPr>
      <w:r>
        <w:rPr>
          <w:rFonts w:hint="eastAsia" w:ascii="宋体" w:hAnsi="宋体"/>
          <w:b/>
          <w:szCs w:val="21"/>
        </w:rPr>
        <w:t>合同生效及其他</w:t>
      </w:r>
    </w:p>
    <w:p>
      <w:pPr>
        <w:numPr>
          <w:ilvl w:val="1"/>
          <w:numId w:val="2"/>
        </w:numPr>
        <w:tabs>
          <w:tab w:val="left" w:pos="540"/>
        </w:tabs>
        <w:spacing w:line="400" w:lineRule="exact"/>
        <w:ind w:left="540" w:hanging="540"/>
        <w:rPr>
          <w:rFonts w:ascii="宋体" w:hAnsi="宋体"/>
          <w:szCs w:val="21"/>
        </w:rPr>
      </w:pPr>
      <w:r>
        <w:rPr>
          <w:rFonts w:hint="eastAsia" w:ascii="宋体" w:hAnsi="宋体"/>
          <w:szCs w:val="21"/>
        </w:rPr>
        <w:t>本合同经双方签字并盖公章后生效，并由政府采购监督管理部门备案。</w:t>
      </w:r>
    </w:p>
    <w:p>
      <w:pPr>
        <w:numPr>
          <w:ilvl w:val="1"/>
          <w:numId w:val="2"/>
        </w:numPr>
        <w:tabs>
          <w:tab w:val="left" w:pos="540"/>
        </w:tabs>
        <w:spacing w:line="400" w:lineRule="exact"/>
        <w:ind w:left="540" w:hanging="540"/>
        <w:rPr>
          <w:rFonts w:ascii="宋体" w:hAnsi="宋体"/>
          <w:szCs w:val="21"/>
        </w:rPr>
      </w:pPr>
      <w:r>
        <w:rPr>
          <w:rFonts w:hint="eastAsia" w:ascii="宋体" w:hAnsi="宋体"/>
          <w:szCs w:val="21"/>
        </w:rPr>
        <w:t>下列文件为本合同不可分割部分：</w:t>
      </w:r>
    </w:p>
    <w:p>
      <w:pPr>
        <w:numPr>
          <w:ilvl w:val="0"/>
          <w:numId w:val="7"/>
        </w:numPr>
        <w:tabs>
          <w:tab w:val="left" w:pos="1080"/>
        </w:tabs>
        <w:spacing w:line="400" w:lineRule="exact"/>
        <w:ind w:left="1080" w:right="-153" w:hanging="540"/>
        <w:rPr>
          <w:rFonts w:ascii="宋体" w:hAnsi="宋体"/>
          <w:szCs w:val="21"/>
        </w:rPr>
      </w:pPr>
      <w:r>
        <w:rPr>
          <w:rFonts w:hint="eastAsia" w:ascii="宋体" w:hAnsi="宋体"/>
          <w:szCs w:val="21"/>
        </w:rPr>
        <w:t>成交通知书；</w:t>
      </w:r>
    </w:p>
    <w:p>
      <w:pPr>
        <w:numPr>
          <w:ilvl w:val="0"/>
          <w:numId w:val="7"/>
        </w:numPr>
        <w:tabs>
          <w:tab w:val="left" w:pos="1080"/>
        </w:tabs>
        <w:spacing w:line="400" w:lineRule="exact"/>
        <w:ind w:left="1080" w:right="-153" w:hanging="540"/>
        <w:rPr>
          <w:rFonts w:ascii="宋体" w:hAnsi="宋体"/>
          <w:szCs w:val="21"/>
        </w:rPr>
      </w:pPr>
      <w:r>
        <w:rPr>
          <w:rFonts w:hint="eastAsia" w:ascii="宋体" w:hAnsi="宋体"/>
          <w:szCs w:val="21"/>
        </w:rPr>
        <w:t>乙方响应文件；</w:t>
      </w:r>
    </w:p>
    <w:p>
      <w:pPr>
        <w:numPr>
          <w:ilvl w:val="0"/>
          <w:numId w:val="7"/>
        </w:numPr>
        <w:tabs>
          <w:tab w:val="left" w:pos="1080"/>
        </w:tabs>
        <w:spacing w:line="400" w:lineRule="exact"/>
        <w:ind w:left="1080" w:right="-153" w:hanging="540"/>
        <w:rPr>
          <w:rFonts w:ascii="宋体" w:hAnsi="宋体"/>
          <w:szCs w:val="21"/>
        </w:rPr>
      </w:pPr>
      <w:r>
        <w:rPr>
          <w:rFonts w:hint="eastAsia" w:ascii="宋体" w:hAnsi="宋体"/>
          <w:szCs w:val="21"/>
        </w:rPr>
        <w:t>磋商文件；</w:t>
      </w:r>
    </w:p>
    <w:p>
      <w:pPr>
        <w:numPr>
          <w:ilvl w:val="0"/>
          <w:numId w:val="7"/>
        </w:numPr>
        <w:tabs>
          <w:tab w:val="left" w:pos="1080"/>
        </w:tabs>
        <w:spacing w:line="400" w:lineRule="exact"/>
        <w:ind w:left="1080" w:right="-153" w:hanging="540"/>
        <w:rPr>
          <w:rFonts w:ascii="宋体" w:hAnsi="宋体"/>
          <w:szCs w:val="21"/>
        </w:rPr>
      </w:pPr>
      <w:r>
        <w:rPr>
          <w:rFonts w:hint="eastAsia" w:ascii="宋体" w:hAnsi="宋体"/>
          <w:szCs w:val="21"/>
        </w:rPr>
        <w:t>乙方在磋商过程中所作的其他承诺、声明、书面澄清等。</w:t>
      </w:r>
    </w:p>
    <w:p>
      <w:pPr>
        <w:numPr>
          <w:ilvl w:val="0"/>
          <w:numId w:val="2"/>
        </w:numPr>
        <w:tabs>
          <w:tab w:val="left" w:pos="540"/>
        </w:tabs>
        <w:spacing w:line="400" w:lineRule="exact"/>
        <w:ind w:left="540" w:hanging="540"/>
        <w:rPr>
          <w:rFonts w:ascii="宋体" w:hAnsi="宋体"/>
          <w:b/>
          <w:szCs w:val="21"/>
        </w:rPr>
      </w:pPr>
      <w:r>
        <w:rPr>
          <w:rFonts w:hint="eastAsia" w:ascii="宋体" w:hAnsi="宋体"/>
          <w:b/>
          <w:szCs w:val="21"/>
        </w:rPr>
        <w:t>未尽事宜</w:t>
      </w:r>
    </w:p>
    <w:p>
      <w:pPr>
        <w:spacing w:line="400" w:lineRule="exact"/>
        <w:ind w:firstLine="539" w:firstLineChars="257"/>
        <w:rPr>
          <w:rFonts w:ascii="宋体" w:hAnsi="宋体"/>
          <w:szCs w:val="21"/>
        </w:rPr>
      </w:pPr>
      <w:r>
        <w:rPr>
          <w:rFonts w:hint="eastAsia" w:ascii="宋体" w:hAnsi="宋体"/>
          <w:szCs w:val="21"/>
        </w:rPr>
        <w:t>未尽事宜应按照《中华人民共和国合同法》、《中华人民共和国政府采购法》等相关法律法规之规定解释。</w:t>
      </w:r>
    </w:p>
    <w:p>
      <w:pPr>
        <w:numPr>
          <w:ilvl w:val="0"/>
          <w:numId w:val="2"/>
        </w:numPr>
        <w:tabs>
          <w:tab w:val="left" w:pos="540"/>
        </w:tabs>
        <w:spacing w:line="400" w:lineRule="exact"/>
        <w:ind w:left="540" w:hanging="540"/>
        <w:rPr>
          <w:rFonts w:ascii="宋体" w:hAnsi="宋体"/>
          <w:b/>
          <w:szCs w:val="21"/>
        </w:rPr>
      </w:pPr>
      <w:r>
        <w:rPr>
          <w:rFonts w:hint="eastAsia" w:ascii="宋体" w:hAnsi="宋体"/>
          <w:b/>
          <w:szCs w:val="21"/>
        </w:rPr>
        <w:t>附则</w:t>
      </w:r>
    </w:p>
    <w:p>
      <w:pPr>
        <w:spacing w:line="400" w:lineRule="exact"/>
        <w:ind w:firstLine="539" w:firstLineChars="257"/>
        <w:rPr>
          <w:rFonts w:ascii="宋体" w:hAnsi="宋体" w:cs="仿宋_GB2312"/>
          <w:szCs w:val="21"/>
        </w:rPr>
      </w:pPr>
      <w:r>
        <w:rPr>
          <w:rFonts w:ascii="宋体" w:hAnsi="宋体"/>
          <w:szCs w:val="21"/>
        </w:rPr>
        <w:t>本合同一式</w:t>
      </w:r>
      <w:r>
        <w:rPr>
          <w:rFonts w:ascii="宋体" w:hAnsi="宋体"/>
          <w:szCs w:val="21"/>
          <w:u w:val="single"/>
        </w:rPr>
        <w:t xml:space="preserve">    </w:t>
      </w:r>
      <w:r>
        <w:rPr>
          <w:rFonts w:ascii="宋体" w:hAnsi="宋体"/>
          <w:szCs w:val="21"/>
        </w:rPr>
        <w:t>份，甲、乙方各执</w:t>
      </w:r>
      <w:r>
        <w:rPr>
          <w:rFonts w:ascii="宋体" w:hAnsi="宋体"/>
          <w:szCs w:val="21"/>
          <w:u w:val="single"/>
        </w:rPr>
        <w:t xml:space="preserve">    </w:t>
      </w:r>
      <w:r>
        <w:rPr>
          <w:rFonts w:ascii="宋体" w:hAnsi="宋体"/>
          <w:szCs w:val="21"/>
        </w:rPr>
        <w:t>份，政府采购监督管理部门备案，采购代理机构一份</w:t>
      </w:r>
      <w:r>
        <w:rPr>
          <w:rFonts w:hint="eastAsia" w:ascii="宋体" w:hAnsi="宋体" w:cs="仿宋_GB2312"/>
          <w:szCs w:val="21"/>
        </w:rPr>
        <w:t>。</w:t>
      </w:r>
    </w:p>
    <w:p>
      <w:pPr>
        <w:spacing w:line="500" w:lineRule="exact"/>
        <w:ind w:firstLine="420" w:firstLineChars="200"/>
        <w:rPr>
          <w:szCs w:val="21"/>
        </w:rPr>
      </w:pPr>
    </w:p>
    <w:p>
      <w:pPr>
        <w:spacing w:line="500" w:lineRule="exact"/>
        <w:ind w:firstLine="420" w:firstLineChars="200"/>
        <w:rPr>
          <w:szCs w:val="21"/>
        </w:rPr>
      </w:pPr>
      <w:r>
        <w:rPr>
          <w:szCs w:val="21"/>
        </w:rPr>
        <w:t>甲方（盖章）：                                乙方（盖章）：</w:t>
      </w:r>
    </w:p>
    <w:p>
      <w:pPr>
        <w:spacing w:line="500" w:lineRule="exact"/>
        <w:ind w:firstLine="420" w:firstLineChars="200"/>
        <w:rPr>
          <w:szCs w:val="21"/>
        </w:rPr>
      </w:pPr>
    </w:p>
    <w:p>
      <w:pPr>
        <w:spacing w:line="500" w:lineRule="exact"/>
        <w:ind w:firstLine="420" w:firstLineChars="200"/>
        <w:rPr>
          <w:szCs w:val="21"/>
        </w:rPr>
      </w:pPr>
      <w:r>
        <w:rPr>
          <w:szCs w:val="21"/>
        </w:rPr>
        <w:t>法定（授权）代表人（签字）：                  法定（授权）代表人（签字）：</w:t>
      </w:r>
    </w:p>
    <w:p>
      <w:pPr>
        <w:ind w:firstLine="420" w:firstLineChars="200"/>
        <w:jc w:val="left"/>
        <w:rPr>
          <w:szCs w:val="21"/>
        </w:rPr>
      </w:pPr>
    </w:p>
    <w:p>
      <w:pPr>
        <w:ind w:firstLine="420" w:firstLineChars="200"/>
        <w:jc w:val="left"/>
        <w:rPr>
          <w:szCs w:val="21"/>
        </w:rPr>
      </w:pPr>
      <w:r>
        <w:rPr>
          <w:szCs w:val="21"/>
        </w:rPr>
        <w:t>签订日期：</w:t>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 xml:space="preserve">  </w:t>
      </w:r>
    </w:p>
    <w:p>
      <w:pPr>
        <w:ind w:firstLine="420" w:firstLineChars="200"/>
        <w:jc w:val="left"/>
        <w:rPr>
          <w:szCs w:val="21"/>
        </w:rPr>
      </w:pPr>
    </w:p>
    <w:p>
      <w:pPr>
        <w:pStyle w:val="18"/>
      </w:pPr>
    </w:p>
    <w:p/>
    <w:p>
      <w:pPr>
        <w:pStyle w:val="18"/>
      </w:pPr>
    </w:p>
    <w:p/>
    <w:p>
      <w:pPr>
        <w:pStyle w:val="18"/>
      </w:pPr>
    </w:p>
    <w:p>
      <w:pPr>
        <w:autoSpaceDE w:val="0"/>
        <w:autoSpaceDN w:val="0"/>
        <w:adjustRightInd w:val="0"/>
        <w:spacing w:line="360" w:lineRule="auto"/>
        <w:ind w:firstLine="241" w:firstLineChars="100"/>
        <w:rPr>
          <w:rFonts w:ascii="宋体" w:hAnsi="宋体" w:cs="宋体"/>
          <w:bCs/>
          <w:color w:val="000000"/>
          <w:sz w:val="24"/>
        </w:rPr>
      </w:pPr>
      <w:r>
        <w:rPr>
          <w:rFonts w:hint="eastAsia" w:ascii="宋体" w:hAnsi="宋体"/>
          <w:b/>
          <w:bCs/>
          <w:color w:val="000000"/>
          <w:sz w:val="24"/>
          <w:lang w:val="zh-CN"/>
        </w:rPr>
        <w:t>注：甲乙双方可根据项目实际情况，经协商一致可对本合同范本内容作出相应调整。</w:t>
      </w:r>
    </w:p>
    <w:p>
      <w:pPr>
        <w:pStyle w:val="18"/>
      </w:pPr>
    </w:p>
    <w:p>
      <w:pPr>
        <w:spacing w:line="360" w:lineRule="auto"/>
        <w:ind w:firstLine="316" w:firstLineChars="150"/>
        <w:jc w:val="center"/>
        <w:outlineLvl w:val="0"/>
        <w:rPr>
          <w:rFonts w:ascii="宋体" w:hAnsi="宋体"/>
          <w:b/>
          <w:sz w:val="32"/>
        </w:rPr>
      </w:pPr>
      <w:r>
        <w:rPr>
          <w:rFonts w:ascii="宋体" w:hAnsi="宋体"/>
          <w:b/>
          <w:bCs/>
        </w:rPr>
        <w:br w:type="page"/>
      </w:r>
      <w:r>
        <w:rPr>
          <w:rFonts w:hint="eastAsia" w:ascii="宋体" w:hAnsi="宋体"/>
          <w:b/>
          <w:sz w:val="32"/>
        </w:rPr>
        <w:t>五</w:t>
      </w:r>
      <w:r>
        <w:rPr>
          <w:rFonts w:ascii="宋体" w:hAnsi="宋体"/>
          <w:b/>
          <w:sz w:val="32"/>
        </w:rPr>
        <w:t>、附 件</w:t>
      </w:r>
    </w:p>
    <w:p>
      <w:pPr>
        <w:rPr>
          <w:rFonts w:ascii="宋体" w:hAnsi="宋体"/>
          <w:b/>
        </w:rPr>
      </w:pPr>
      <w:r>
        <w:rPr>
          <w:rFonts w:ascii="宋体" w:hAnsi="宋体"/>
          <w:b/>
        </w:rPr>
        <w:t>附件1、（供应商）授权委托书</w:t>
      </w:r>
    </w:p>
    <w:p>
      <w:pPr>
        <w:pStyle w:val="11"/>
        <w:overflowPunct w:val="0"/>
        <w:spacing w:line="360" w:lineRule="auto"/>
        <w:ind w:firstLine="0"/>
        <w:jc w:val="both"/>
        <w:rPr>
          <w:rFonts w:ascii="宋体" w:hAnsi="宋体" w:eastAsia="宋体"/>
        </w:rPr>
      </w:pPr>
    </w:p>
    <w:p>
      <w:pPr>
        <w:pStyle w:val="11"/>
        <w:overflowPunct w:val="0"/>
        <w:spacing w:line="360" w:lineRule="auto"/>
        <w:jc w:val="center"/>
        <w:rPr>
          <w:rFonts w:ascii="宋体" w:hAnsi="宋体" w:eastAsia="宋体"/>
          <w:sz w:val="21"/>
          <w:szCs w:val="21"/>
        </w:rPr>
      </w:pPr>
      <w:r>
        <w:rPr>
          <w:rFonts w:hint="eastAsia" w:ascii="宋体" w:hAnsi="宋体" w:eastAsia="宋体"/>
          <w:sz w:val="21"/>
          <w:szCs w:val="21"/>
        </w:rPr>
        <w:t>授权委托书</w:t>
      </w:r>
    </w:p>
    <w:p>
      <w:pPr>
        <w:pStyle w:val="11"/>
        <w:overflowPunct w:val="0"/>
        <w:spacing w:line="360" w:lineRule="auto"/>
        <w:jc w:val="both"/>
        <w:rPr>
          <w:rFonts w:ascii="宋体" w:hAnsi="宋体" w:eastAsia="宋体"/>
          <w:sz w:val="28"/>
        </w:rPr>
      </w:pPr>
    </w:p>
    <w:p>
      <w:pPr>
        <w:spacing w:line="360" w:lineRule="auto"/>
        <w:ind w:firstLine="420" w:firstLineChars="200"/>
        <w:rPr>
          <w:rFonts w:ascii="宋体" w:hAnsi="宋体"/>
          <w:szCs w:val="21"/>
        </w:rPr>
      </w:pPr>
      <w:r>
        <w:rPr>
          <w:rFonts w:ascii="宋体" w:hAnsi="宋体"/>
          <w:szCs w:val="21"/>
        </w:rPr>
        <w:t>本授权委托书声明：  我</w:t>
      </w:r>
      <w:r>
        <w:rPr>
          <w:rFonts w:ascii="宋体" w:hAnsi="宋体"/>
          <w:szCs w:val="21"/>
          <w:u w:val="single"/>
        </w:rPr>
        <w:t xml:space="preserve">          </w:t>
      </w:r>
      <w:r>
        <w:rPr>
          <w:rFonts w:ascii="宋体" w:hAnsi="宋体"/>
          <w:szCs w:val="21"/>
        </w:rPr>
        <w:t>（姓名）系</w:t>
      </w:r>
      <w:r>
        <w:rPr>
          <w:rFonts w:ascii="宋体" w:hAnsi="宋体"/>
          <w:szCs w:val="21"/>
          <w:u w:val="single"/>
        </w:rPr>
        <w:t xml:space="preserve">  （供应商名称）</w:t>
      </w:r>
      <w:r>
        <w:rPr>
          <w:rFonts w:ascii="宋体" w:hAnsi="宋体"/>
          <w:szCs w:val="21"/>
        </w:rPr>
        <w:t>的法定代表人，现授权委托</w:t>
      </w:r>
      <w:r>
        <w:rPr>
          <w:rFonts w:ascii="宋体" w:hAnsi="宋体"/>
          <w:szCs w:val="21"/>
          <w:u w:val="single"/>
        </w:rPr>
        <w:t xml:space="preserve">        </w:t>
      </w:r>
      <w:r>
        <w:rPr>
          <w:rFonts w:ascii="宋体" w:hAnsi="宋体"/>
          <w:szCs w:val="21"/>
        </w:rPr>
        <w:t>（姓名）为我公司授权代表（即代理人），以本公司的名义参加</w:t>
      </w:r>
      <w:r>
        <w:rPr>
          <w:rFonts w:hint="eastAsia" w:ascii="宋体" w:hAnsi="宋体"/>
          <w:szCs w:val="21"/>
          <w:u w:val="single"/>
        </w:rPr>
        <w:t xml:space="preserve"> </w:t>
      </w:r>
      <w:r>
        <w:rPr>
          <w:rFonts w:hint="eastAsia" w:ascii="宋体" w:hAnsi="宋体"/>
          <w:szCs w:val="21"/>
          <w:u w:val="single"/>
          <w:lang w:eastAsia="zh-CN"/>
        </w:rPr>
        <w:t>新沂市公共资源交易中心</w:t>
      </w:r>
      <w:r>
        <w:rPr>
          <w:rFonts w:hint="eastAsia" w:ascii="宋体" w:hAnsi="宋体"/>
          <w:szCs w:val="21"/>
          <w:highlight w:val="none"/>
          <w:u w:val="single"/>
        </w:rPr>
        <w:t xml:space="preserve"> </w:t>
      </w:r>
      <w:r>
        <w:rPr>
          <w:rFonts w:ascii="宋体" w:hAnsi="宋体"/>
          <w:szCs w:val="21"/>
        </w:rPr>
        <w:t>组织实施的编号为</w:t>
      </w:r>
      <w:r>
        <w:rPr>
          <w:rFonts w:ascii="宋体" w:hAnsi="宋体"/>
          <w:szCs w:val="21"/>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新采磋（2022）XYZYJY 1101  </w:t>
      </w:r>
      <w:r>
        <w:rPr>
          <w:rFonts w:ascii="宋体" w:hAnsi="宋体"/>
          <w:szCs w:val="21"/>
        </w:rPr>
        <w:t>号的磋商活动。授权代表在磋商活动过程中所签署的一切文件和处理与这有关的一切事务，我均予以承认。</w:t>
      </w:r>
    </w:p>
    <w:p>
      <w:pPr>
        <w:spacing w:line="360" w:lineRule="auto"/>
        <w:ind w:firstLine="480"/>
        <w:rPr>
          <w:rFonts w:ascii="宋体" w:hAnsi="宋体"/>
          <w:szCs w:val="21"/>
        </w:rPr>
      </w:pPr>
      <w:r>
        <w:rPr>
          <w:rFonts w:ascii="宋体" w:hAnsi="宋体"/>
          <w:szCs w:val="21"/>
        </w:rPr>
        <w:t>授权代表在授权委托书有效期内签署的所有文件不因授权委托的撤销而失效，除非有撤销授权委托的书面通知，本授权委托书自磋商活动开始至合同履行完毕止。</w:t>
      </w:r>
    </w:p>
    <w:p>
      <w:pPr>
        <w:spacing w:line="360" w:lineRule="auto"/>
        <w:ind w:firstLine="480"/>
        <w:rPr>
          <w:rFonts w:ascii="宋体" w:hAnsi="宋体"/>
          <w:szCs w:val="21"/>
        </w:rPr>
      </w:pPr>
      <w:r>
        <w:rPr>
          <w:rFonts w:ascii="宋体" w:hAnsi="宋体"/>
          <w:szCs w:val="21"/>
        </w:rPr>
        <w:t>授权代表无转委托权。特此委托。</w:t>
      </w:r>
    </w:p>
    <w:p>
      <w:pPr>
        <w:spacing w:line="360" w:lineRule="auto"/>
        <w:ind w:firstLine="480"/>
        <w:rPr>
          <w:rFonts w:ascii="宋体" w:hAnsi="宋体"/>
          <w:szCs w:val="21"/>
        </w:rPr>
      </w:pPr>
      <w:r>
        <w:rPr>
          <w:rFonts w:ascii="宋体" w:hAnsi="宋体"/>
          <w:szCs w:val="21"/>
        </w:rPr>
        <w:t xml:space="preserve">    </w:t>
      </w:r>
    </w:p>
    <w:p>
      <w:pPr>
        <w:spacing w:line="360" w:lineRule="auto"/>
        <w:ind w:firstLine="480"/>
        <w:rPr>
          <w:rFonts w:ascii="宋体" w:hAnsi="宋体"/>
          <w:szCs w:val="21"/>
        </w:rPr>
      </w:pPr>
      <w:r>
        <w:rPr>
          <w:rFonts w:ascii="宋体" w:hAnsi="宋体"/>
          <w:szCs w:val="21"/>
        </w:rPr>
        <w:t>供应商：（公章）</w:t>
      </w:r>
    </w:p>
    <w:p>
      <w:pPr>
        <w:spacing w:line="360" w:lineRule="auto"/>
        <w:ind w:firstLine="480"/>
        <w:rPr>
          <w:rFonts w:ascii="宋体" w:hAnsi="宋体"/>
          <w:szCs w:val="21"/>
        </w:rPr>
      </w:pPr>
      <w:r>
        <w:rPr>
          <w:rFonts w:ascii="宋体" w:hAnsi="宋体"/>
          <w:szCs w:val="21"/>
        </w:rPr>
        <w:t>法定代表人：（签字或盖章）</w:t>
      </w:r>
    </w:p>
    <w:p>
      <w:pPr>
        <w:spacing w:line="360" w:lineRule="auto"/>
        <w:ind w:firstLine="480"/>
        <w:rPr>
          <w:rFonts w:ascii="宋体" w:hAnsi="宋体"/>
          <w:szCs w:val="21"/>
        </w:rPr>
      </w:pPr>
      <w:r>
        <w:rPr>
          <w:rFonts w:ascii="宋体" w:hAnsi="宋体"/>
          <w:szCs w:val="21"/>
        </w:rPr>
        <w:t>代理人：（签字或</w:t>
      </w:r>
      <w:r>
        <w:rPr>
          <w:rFonts w:hint="eastAsia" w:ascii="宋体" w:hAnsi="宋体"/>
          <w:szCs w:val="21"/>
        </w:rPr>
        <w:t>盖章</w:t>
      </w:r>
      <w:r>
        <w:rPr>
          <w:rFonts w:ascii="宋体" w:hAnsi="宋体"/>
          <w:szCs w:val="21"/>
        </w:rPr>
        <w:t>）</w:t>
      </w:r>
    </w:p>
    <w:p>
      <w:pPr>
        <w:spacing w:line="360" w:lineRule="auto"/>
        <w:ind w:firstLine="480"/>
        <w:rPr>
          <w:rFonts w:ascii="宋体" w:hAnsi="宋体"/>
          <w:szCs w:val="21"/>
        </w:rPr>
      </w:pPr>
    </w:p>
    <w:p>
      <w:pPr>
        <w:spacing w:line="360" w:lineRule="auto"/>
        <w:ind w:firstLine="480"/>
        <w:rPr>
          <w:rFonts w:ascii="宋体" w:hAnsi="宋体"/>
          <w:szCs w:val="21"/>
        </w:rPr>
      </w:pPr>
    </w:p>
    <w:p>
      <w:pPr>
        <w:spacing w:line="360" w:lineRule="auto"/>
        <w:ind w:firstLine="480"/>
        <w:rPr>
          <w:rFonts w:ascii="宋体" w:hAnsi="宋体"/>
          <w:szCs w:val="21"/>
        </w:rPr>
      </w:pPr>
    </w:p>
    <w:p>
      <w:pPr>
        <w:spacing w:line="360" w:lineRule="auto"/>
        <w:ind w:firstLine="480"/>
        <w:rPr>
          <w:rFonts w:ascii="宋体" w:hAnsi="宋体"/>
          <w:szCs w:val="21"/>
        </w:rPr>
      </w:pPr>
    </w:p>
    <w:p>
      <w:pPr>
        <w:pStyle w:val="11"/>
        <w:overflowPunct w:val="0"/>
        <w:jc w:val="center"/>
        <w:rPr>
          <w:rFonts w:ascii="宋体" w:hAnsi="宋体" w:eastAsia="宋体"/>
          <w:sz w:val="21"/>
          <w:szCs w:val="21"/>
        </w:rPr>
      </w:pPr>
      <w:r>
        <w:rPr>
          <w:rFonts w:ascii="宋体" w:hAnsi="宋体" w:eastAsia="宋体"/>
          <w:sz w:val="21"/>
          <w:szCs w:val="21"/>
        </w:rPr>
        <w:t>　　　　　　　　年　　  月　　  日</w:t>
      </w:r>
    </w:p>
    <w:p>
      <w:pPr>
        <w:pStyle w:val="11"/>
        <w:overflowPunct w:val="0"/>
        <w:ind w:firstLine="0"/>
        <w:rPr>
          <w:rFonts w:ascii="宋体" w:hAnsi="宋体" w:eastAsia="宋体"/>
          <w:sz w:val="21"/>
          <w:szCs w:val="21"/>
        </w:rPr>
      </w:pPr>
    </w:p>
    <w:p>
      <w:pPr>
        <w:pStyle w:val="11"/>
        <w:overflowPunct w:val="0"/>
        <w:ind w:firstLine="0"/>
        <w:rPr>
          <w:rFonts w:ascii="宋体" w:hAnsi="宋体" w:eastAsia="宋体"/>
        </w:rPr>
      </w:pPr>
    </w:p>
    <w:p>
      <w:pPr>
        <w:pStyle w:val="15"/>
        <w:spacing w:line="380" w:lineRule="exact"/>
        <w:rPr>
          <w:rFonts w:hAnsi="宋体"/>
          <w:b/>
        </w:rPr>
      </w:pPr>
      <w:r>
        <w:rPr>
          <w:rFonts w:hAnsi="宋体"/>
        </w:rPr>
        <w:br w:type="page"/>
      </w:r>
      <w:r>
        <w:rPr>
          <w:rFonts w:hAnsi="宋体"/>
          <w:b/>
        </w:rPr>
        <w:t>附件2、磋商响应函</w:t>
      </w:r>
    </w:p>
    <w:p>
      <w:pPr>
        <w:pStyle w:val="15"/>
        <w:spacing w:line="380" w:lineRule="exact"/>
        <w:jc w:val="center"/>
        <w:rPr>
          <w:rFonts w:hAnsi="宋体"/>
          <w:b/>
        </w:rPr>
      </w:pPr>
      <w:r>
        <w:rPr>
          <w:rFonts w:hAnsi="宋体"/>
          <w:b/>
        </w:rPr>
        <w:t>磋商响应函</w:t>
      </w:r>
    </w:p>
    <w:p>
      <w:pPr>
        <w:pStyle w:val="15"/>
        <w:spacing w:line="380" w:lineRule="exact"/>
        <w:jc w:val="center"/>
        <w:rPr>
          <w:rFonts w:hAnsi="宋体"/>
          <w:sz w:val="24"/>
        </w:rPr>
      </w:pPr>
    </w:p>
    <w:p>
      <w:pPr>
        <w:pStyle w:val="15"/>
        <w:spacing w:line="380" w:lineRule="exact"/>
        <w:rPr>
          <w:rFonts w:hAnsi="宋体"/>
        </w:rPr>
      </w:pPr>
      <w:r>
        <w:rPr>
          <w:rFonts w:hAnsi="宋体"/>
          <w:sz w:val="24"/>
        </w:rPr>
        <w:t xml:space="preserve"> </w:t>
      </w:r>
      <w:r>
        <w:rPr>
          <w:rFonts w:hAnsi="宋体"/>
          <w:sz w:val="24"/>
          <w:u w:val="single"/>
        </w:rPr>
        <w:t xml:space="preserve"> </w:t>
      </w:r>
      <w:r>
        <w:rPr>
          <w:rFonts w:hAnsi="宋体"/>
          <w:u w:val="single"/>
        </w:rPr>
        <w:t xml:space="preserve"> </w:t>
      </w:r>
      <w:r>
        <w:rPr>
          <w:rFonts w:hAnsi="宋体"/>
          <w:highlight w:val="none"/>
          <w:u w:val="single"/>
        </w:rPr>
        <w:t xml:space="preserve"> </w:t>
      </w:r>
      <w:r>
        <w:rPr>
          <w:rFonts w:hint="eastAsia" w:hAnsi="宋体"/>
          <w:highlight w:val="none"/>
          <w:u w:val="single"/>
          <w:lang w:eastAsia="zh-CN"/>
        </w:rPr>
        <w:t>新沂市公共资源交易中心</w:t>
      </w:r>
      <w:r>
        <w:rPr>
          <w:rFonts w:hAnsi="宋体"/>
          <w:highlight w:val="none"/>
          <w:u w:val="single"/>
        </w:rPr>
        <w:t xml:space="preserve">   </w:t>
      </w:r>
      <w:r>
        <w:rPr>
          <w:rFonts w:hAnsi="宋体"/>
        </w:rPr>
        <w:t xml:space="preserve">： </w:t>
      </w:r>
    </w:p>
    <w:p>
      <w:pPr>
        <w:pStyle w:val="15"/>
        <w:spacing w:line="380" w:lineRule="exact"/>
        <w:rPr>
          <w:rFonts w:hAnsi="宋体"/>
        </w:rPr>
      </w:pPr>
    </w:p>
    <w:p>
      <w:pPr>
        <w:pStyle w:val="48"/>
        <w:spacing w:line="360" w:lineRule="auto"/>
        <w:ind w:firstLine="420" w:firstLineChars="200"/>
        <w:rPr>
          <w:rFonts w:hAnsi="宋体" w:eastAsia="宋体"/>
          <w:sz w:val="21"/>
          <w:szCs w:val="21"/>
        </w:rPr>
      </w:pPr>
      <w:r>
        <w:rPr>
          <w:rFonts w:hAnsi="宋体" w:eastAsia="宋体"/>
          <w:sz w:val="21"/>
          <w:szCs w:val="21"/>
        </w:rPr>
        <w:t>我们收到贵公司</w:t>
      </w:r>
      <w:r>
        <w:rPr>
          <w:rFonts w:hAnsi="宋体" w:eastAsia="宋体"/>
          <w:sz w:val="21"/>
          <w:szCs w:val="21"/>
          <w:u w:val="single"/>
        </w:rPr>
        <w:t xml:space="preserve"> </w:t>
      </w:r>
      <w:r>
        <w:rPr>
          <w:rFonts w:hAnsi="宋体" w:eastAsia="宋体" w:cs="Courier New"/>
          <w:color w:val="auto"/>
          <w:sz w:val="21"/>
          <w:szCs w:val="21"/>
          <w:highlight w:val="none"/>
          <w:u w:val="single"/>
        </w:rPr>
        <w:t xml:space="preserve"> </w:t>
      </w:r>
      <w:r>
        <w:rPr>
          <w:rFonts w:hint="eastAsia" w:ascii="宋体" w:hAnsi="宋体" w:eastAsia="宋体" w:cs="Courier New"/>
          <w:color w:val="auto"/>
          <w:kern w:val="2"/>
          <w:sz w:val="21"/>
          <w:szCs w:val="21"/>
          <w:highlight w:val="none"/>
          <w:u w:val="single"/>
          <w:lang w:val="en-US" w:eastAsia="zh-CN" w:bidi="ar-SA"/>
        </w:rPr>
        <w:t>新采磋（2022）XYZYJY 1101</w:t>
      </w:r>
      <w:r>
        <w:rPr>
          <w:rFonts w:ascii="宋体" w:hAnsi="宋体" w:eastAsia="宋体" w:cs="Courier New"/>
          <w:color w:val="auto"/>
          <w:kern w:val="2"/>
          <w:sz w:val="21"/>
          <w:szCs w:val="21"/>
          <w:highlight w:val="none"/>
          <w:u w:val="single"/>
          <w:lang w:val="en-US" w:eastAsia="zh-CN" w:bidi="ar-SA"/>
        </w:rPr>
        <w:t xml:space="preserve"> </w:t>
      </w:r>
      <w:r>
        <w:rPr>
          <w:rFonts w:hAnsi="宋体" w:eastAsia="宋体"/>
          <w:sz w:val="21"/>
          <w:szCs w:val="21"/>
          <w:u w:val="single"/>
        </w:rPr>
        <w:t xml:space="preserve"> </w:t>
      </w:r>
      <w:r>
        <w:rPr>
          <w:rFonts w:hAnsi="宋体" w:eastAsia="宋体"/>
          <w:sz w:val="21"/>
          <w:szCs w:val="21"/>
        </w:rPr>
        <w:t>号磋商文件，经仔细阅读和研究，我们决定参加磋商活动。</w:t>
      </w:r>
    </w:p>
    <w:p>
      <w:pPr>
        <w:pStyle w:val="48"/>
        <w:spacing w:line="360" w:lineRule="auto"/>
        <w:ind w:firstLine="420" w:firstLineChars="200"/>
        <w:rPr>
          <w:rFonts w:hAnsi="宋体" w:eastAsia="宋体"/>
          <w:b/>
          <w:sz w:val="21"/>
          <w:szCs w:val="21"/>
        </w:rPr>
      </w:pPr>
      <w:r>
        <w:rPr>
          <w:rFonts w:hAnsi="宋体" w:eastAsia="宋体"/>
          <w:sz w:val="21"/>
          <w:szCs w:val="21"/>
        </w:rPr>
        <w:t>1、我们愿意按照磋商文件的一切要求，完成该项目的全部内容。</w:t>
      </w:r>
    </w:p>
    <w:p>
      <w:pPr>
        <w:pStyle w:val="48"/>
        <w:spacing w:line="360" w:lineRule="auto"/>
        <w:ind w:firstLine="420" w:firstLineChars="200"/>
        <w:rPr>
          <w:rFonts w:hAnsi="宋体" w:eastAsia="宋体"/>
          <w:sz w:val="21"/>
          <w:szCs w:val="21"/>
        </w:rPr>
      </w:pPr>
      <w:r>
        <w:rPr>
          <w:rFonts w:hAnsi="宋体" w:eastAsia="宋体"/>
          <w:sz w:val="21"/>
          <w:szCs w:val="21"/>
        </w:rPr>
        <w:t>2、如果我们的磋商响应文件被接受，我们将严格履行磋商文件中规定的每一项要求，按期、按质、按量履行合同的义务。</w:t>
      </w:r>
    </w:p>
    <w:p>
      <w:pPr>
        <w:pStyle w:val="48"/>
        <w:spacing w:line="360" w:lineRule="auto"/>
        <w:ind w:firstLine="420" w:firstLineChars="200"/>
        <w:rPr>
          <w:rFonts w:hAnsi="宋体" w:eastAsia="宋体"/>
          <w:sz w:val="21"/>
          <w:szCs w:val="21"/>
        </w:rPr>
      </w:pPr>
      <w:r>
        <w:rPr>
          <w:rFonts w:hint="eastAsia" w:hAnsi="宋体" w:eastAsia="宋体"/>
          <w:sz w:val="21"/>
          <w:szCs w:val="21"/>
        </w:rPr>
        <w:t>3</w:t>
      </w:r>
      <w:r>
        <w:rPr>
          <w:rFonts w:hAnsi="宋体" w:eastAsia="宋体"/>
          <w:sz w:val="21"/>
          <w:szCs w:val="21"/>
        </w:rPr>
        <w:t>、我们同意按磋商文件中的规定，本响应文件的有效期限自提交响应文件截止时间之日起</w:t>
      </w:r>
      <w:r>
        <w:rPr>
          <w:rFonts w:hint="eastAsia" w:hAnsi="宋体" w:eastAsia="宋体"/>
          <w:sz w:val="21"/>
          <w:szCs w:val="21"/>
          <w:u w:val="single"/>
        </w:rPr>
        <w:t>60</w:t>
      </w:r>
      <w:r>
        <w:rPr>
          <w:rFonts w:hAnsi="宋体" w:eastAsia="宋体"/>
          <w:sz w:val="21"/>
          <w:szCs w:val="21"/>
        </w:rPr>
        <w:t>天。</w:t>
      </w:r>
    </w:p>
    <w:p>
      <w:pPr>
        <w:pStyle w:val="48"/>
        <w:spacing w:line="360" w:lineRule="auto"/>
        <w:ind w:firstLine="420" w:firstLineChars="200"/>
        <w:rPr>
          <w:rFonts w:hAnsi="宋体" w:eastAsia="宋体"/>
          <w:sz w:val="21"/>
          <w:szCs w:val="21"/>
        </w:rPr>
      </w:pPr>
      <w:r>
        <w:rPr>
          <w:rFonts w:hint="eastAsia" w:hAnsi="宋体" w:eastAsia="宋体"/>
          <w:sz w:val="21"/>
          <w:szCs w:val="21"/>
        </w:rPr>
        <w:t>4</w:t>
      </w:r>
      <w:r>
        <w:rPr>
          <w:rFonts w:hAnsi="宋体" w:eastAsia="宋体"/>
          <w:sz w:val="21"/>
          <w:szCs w:val="21"/>
        </w:rPr>
        <w:t>、我们愿意提供磋商文件中要求的相关资料。</w:t>
      </w:r>
    </w:p>
    <w:p>
      <w:pPr>
        <w:pStyle w:val="48"/>
        <w:spacing w:line="360" w:lineRule="auto"/>
        <w:ind w:firstLine="420" w:firstLineChars="200"/>
        <w:rPr>
          <w:rFonts w:hAnsi="宋体" w:eastAsia="宋体"/>
          <w:sz w:val="21"/>
          <w:szCs w:val="21"/>
        </w:rPr>
      </w:pPr>
      <w:r>
        <w:rPr>
          <w:rFonts w:hint="eastAsia" w:hAnsi="宋体" w:eastAsia="宋体"/>
          <w:sz w:val="21"/>
          <w:szCs w:val="21"/>
        </w:rPr>
        <w:t>5</w:t>
      </w:r>
      <w:r>
        <w:rPr>
          <w:rFonts w:hAnsi="宋体" w:eastAsia="宋体"/>
          <w:sz w:val="21"/>
          <w:szCs w:val="21"/>
        </w:rPr>
        <w:t>、我们愿意遵守磋商文件中所列的收费标准。</w:t>
      </w:r>
    </w:p>
    <w:p>
      <w:pPr>
        <w:pStyle w:val="48"/>
        <w:spacing w:line="360" w:lineRule="auto"/>
        <w:ind w:firstLine="420" w:firstLineChars="200"/>
        <w:rPr>
          <w:rFonts w:hAnsi="宋体" w:eastAsia="宋体"/>
          <w:sz w:val="21"/>
          <w:szCs w:val="21"/>
        </w:rPr>
      </w:pPr>
      <w:r>
        <w:rPr>
          <w:rFonts w:hint="eastAsia" w:hAnsi="宋体" w:eastAsia="宋体"/>
          <w:sz w:val="21"/>
          <w:szCs w:val="21"/>
        </w:rPr>
        <w:t>6</w:t>
      </w:r>
      <w:r>
        <w:rPr>
          <w:rFonts w:hAnsi="宋体" w:eastAsia="宋体"/>
          <w:sz w:val="21"/>
          <w:szCs w:val="21"/>
        </w:rPr>
        <w:t>、我们承诺该响应文件在磋商开始后的全过程中保持有效，不作任何更改和变动。</w:t>
      </w:r>
    </w:p>
    <w:p>
      <w:pPr>
        <w:pStyle w:val="48"/>
        <w:spacing w:line="360" w:lineRule="auto"/>
        <w:ind w:firstLine="420" w:firstLineChars="200"/>
        <w:rPr>
          <w:rFonts w:hAnsi="宋体" w:eastAsia="宋体"/>
          <w:sz w:val="21"/>
          <w:szCs w:val="21"/>
        </w:rPr>
      </w:pPr>
      <w:r>
        <w:rPr>
          <w:rFonts w:hint="eastAsia" w:hAnsi="宋体" w:eastAsia="宋体"/>
          <w:sz w:val="21"/>
          <w:szCs w:val="21"/>
        </w:rPr>
        <w:t>7</w:t>
      </w:r>
      <w:r>
        <w:rPr>
          <w:rFonts w:hAnsi="宋体" w:eastAsia="宋体"/>
          <w:sz w:val="21"/>
          <w:szCs w:val="21"/>
        </w:rPr>
        <w:t>、我们承诺我公司符合磋商文件中“合格供应商的基本、特定条件”的要求，若与真实情况不符，本公司愿意承担由此而产生的一切后果。</w:t>
      </w:r>
    </w:p>
    <w:p>
      <w:pPr>
        <w:pStyle w:val="48"/>
        <w:spacing w:line="360" w:lineRule="auto"/>
        <w:ind w:firstLine="420" w:firstLineChars="200"/>
        <w:rPr>
          <w:rFonts w:hAnsi="宋体" w:eastAsia="宋体"/>
          <w:sz w:val="21"/>
          <w:szCs w:val="21"/>
        </w:rPr>
      </w:pPr>
      <w:r>
        <w:rPr>
          <w:rFonts w:hint="eastAsia" w:hAnsi="宋体" w:eastAsia="宋体"/>
          <w:sz w:val="21"/>
          <w:szCs w:val="21"/>
        </w:rPr>
        <w:t>8</w:t>
      </w:r>
      <w:r>
        <w:rPr>
          <w:rFonts w:hAnsi="宋体" w:eastAsia="宋体"/>
          <w:sz w:val="21"/>
          <w:szCs w:val="21"/>
        </w:rPr>
        <w:t xml:space="preserve">、本次采购活动如规定收取保证金，我们愿意按磋商文件的规定交纳保证金，并同意其中关于保证金的相关规定。我们的保证金退回账号如下（如收取）： </w:t>
      </w:r>
    </w:p>
    <w:p>
      <w:pPr>
        <w:pStyle w:val="48"/>
        <w:spacing w:line="360" w:lineRule="auto"/>
        <w:ind w:firstLine="480"/>
        <w:rPr>
          <w:rFonts w:hAnsi="宋体" w:eastAsia="宋体"/>
          <w:sz w:val="21"/>
          <w:szCs w:val="21"/>
        </w:rPr>
      </w:pPr>
      <w:r>
        <w:rPr>
          <w:rFonts w:hAnsi="宋体" w:eastAsia="宋体"/>
          <w:sz w:val="21"/>
          <w:szCs w:val="21"/>
        </w:rPr>
        <w:t>户      名：</w:t>
      </w:r>
      <w:r>
        <w:rPr>
          <w:rFonts w:hAnsi="宋体" w:eastAsia="宋体"/>
          <w:sz w:val="21"/>
          <w:szCs w:val="21"/>
          <w:u w:val="single"/>
        </w:rPr>
        <w:t xml:space="preserve">                          </w:t>
      </w:r>
    </w:p>
    <w:p>
      <w:pPr>
        <w:pStyle w:val="48"/>
        <w:spacing w:line="360" w:lineRule="auto"/>
        <w:ind w:firstLine="480"/>
        <w:rPr>
          <w:rFonts w:hAnsi="宋体" w:eastAsia="宋体"/>
          <w:sz w:val="21"/>
          <w:szCs w:val="21"/>
        </w:rPr>
      </w:pPr>
      <w:r>
        <w:rPr>
          <w:rFonts w:hAnsi="宋体" w:eastAsia="宋体"/>
          <w:sz w:val="21"/>
          <w:szCs w:val="21"/>
        </w:rPr>
        <w:t>开户行名称：</w:t>
      </w:r>
      <w:r>
        <w:rPr>
          <w:rFonts w:hAnsi="宋体" w:eastAsia="宋体"/>
          <w:sz w:val="21"/>
          <w:szCs w:val="21"/>
          <w:u w:val="single"/>
        </w:rPr>
        <w:t xml:space="preserve">                          </w:t>
      </w:r>
    </w:p>
    <w:p>
      <w:pPr>
        <w:pStyle w:val="48"/>
        <w:spacing w:line="360" w:lineRule="auto"/>
        <w:ind w:firstLine="420" w:firstLineChars="200"/>
        <w:rPr>
          <w:rFonts w:hAnsi="宋体" w:eastAsia="宋体"/>
          <w:sz w:val="21"/>
          <w:szCs w:val="21"/>
        </w:rPr>
      </w:pPr>
      <w:r>
        <w:rPr>
          <w:rFonts w:hAnsi="宋体" w:eastAsia="宋体"/>
          <w:sz w:val="21"/>
          <w:szCs w:val="21"/>
        </w:rPr>
        <w:t>银 行 账 号：</w:t>
      </w:r>
      <w:r>
        <w:rPr>
          <w:rFonts w:hAnsi="宋体" w:eastAsia="宋体"/>
          <w:sz w:val="21"/>
          <w:szCs w:val="21"/>
          <w:u w:val="single"/>
        </w:rPr>
        <w:t xml:space="preserve">                         </w:t>
      </w:r>
    </w:p>
    <w:p>
      <w:pPr>
        <w:pStyle w:val="48"/>
        <w:spacing w:line="360" w:lineRule="auto"/>
        <w:ind w:firstLine="420" w:firstLineChars="200"/>
        <w:rPr>
          <w:rFonts w:hAnsi="宋体" w:eastAsia="宋体"/>
          <w:sz w:val="21"/>
          <w:szCs w:val="21"/>
        </w:rPr>
      </w:pPr>
      <w:r>
        <w:rPr>
          <w:rFonts w:hAnsi="宋体" w:eastAsia="宋体"/>
          <w:sz w:val="21"/>
          <w:szCs w:val="21"/>
        </w:rPr>
        <w:t>所有有关磋商文件的函电，请按下列地址联系：</w:t>
      </w:r>
    </w:p>
    <w:p>
      <w:pPr>
        <w:pStyle w:val="48"/>
        <w:spacing w:line="360" w:lineRule="auto"/>
        <w:ind w:firstLine="420" w:firstLineChars="200"/>
        <w:rPr>
          <w:rFonts w:hAnsi="宋体" w:eastAsia="宋体"/>
          <w:sz w:val="21"/>
          <w:szCs w:val="21"/>
        </w:rPr>
      </w:pPr>
      <w:r>
        <w:rPr>
          <w:rFonts w:hAnsi="宋体" w:eastAsia="宋体"/>
          <w:sz w:val="21"/>
          <w:szCs w:val="21"/>
        </w:rPr>
        <w:t>单位：                             联系人：</w:t>
      </w:r>
    </w:p>
    <w:p>
      <w:pPr>
        <w:pStyle w:val="48"/>
        <w:spacing w:line="360" w:lineRule="auto"/>
        <w:ind w:firstLine="420" w:firstLineChars="200"/>
        <w:rPr>
          <w:rFonts w:hAnsi="宋体" w:eastAsia="宋体"/>
          <w:sz w:val="21"/>
          <w:szCs w:val="21"/>
        </w:rPr>
      </w:pPr>
      <w:r>
        <w:rPr>
          <w:rFonts w:hAnsi="宋体" w:eastAsia="宋体"/>
          <w:sz w:val="21"/>
          <w:szCs w:val="21"/>
        </w:rPr>
        <w:t>地址：                             邮政编码：</w:t>
      </w:r>
    </w:p>
    <w:p>
      <w:pPr>
        <w:pStyle w:val="48"/>
        <w:spacing w:line="360" w:lineRule="auto"/>
        <w:ind w:firstLine="420" w:firstLineChars="200"/>
        <w:rPr>
          <w:rFonts w:hAnsi="宋体" w:eastAsia="宋体"/>
          <w:sz w:val="21"/>
          <w:szCs w:val="21"/>
        </w:rPr>
      </w:pPr>
      <w:r>
        <w:rPr>
          <w:rFonts w:hAnsi="宋体" w:eastAsia="宋体"/>
          <w:sz w:val="21"/>
          <w:szCs w:val="21"/>
        </w:rPr>
        <w:t>联系电话：                         传真：</w:t>
      </w:r>
    </w:p>
    <w:p>
      <w:pPr>
        <w:pStyle w:val="48"/>
        <w:spacing w:line="360" w:lineRule="auto"/>
        <w:ind w:left="3400" w:leftChars="1619" w:firstLine="735" w:firstLineChars="350"/>
        <w:rPr>
          <w:rFonts w:hAnsi="宋体" w:eastAsia="宋体"/>
          <w:sz w:val="21"/>
          <w:szCs w:val="21"/>
        </w:rPr>
      </w:pPr>
      <w:r>
        <w:rPr>
          <w:rFonts w:hAnsi="宋体" w:eastAsia="宋体"/>
          <w:sz w:val="21"/>
          <w:szCs w:val="21"/>
        </w:rPr>
        <w:t>供应商：（公章）</w:t>
      </w:r>
    </w:p>
    <w:p>
      <w:pPr>
        <w:pStyle w:val="48"/>
        <w:spacing w:line="360" w:lineRule="auto"/>
        <w:ind w:left="3824" w:leftChars="1821" w:firstLine="315" w:firstLineChars="150"/>
        <w:rPr>
          <w:rFonts w:hAnsi="宋体" w:eastAsia="宋体"/>
          <w:sz w:val="21"/>
          <w:szCs w:val="21"/>
        </w:rPr>
      </w:pPr>
      <w:r>
        <w:rPr>
          <w:rFonts w:hAnsi="宋体" w:eastAsia="宋体"/>
          <w:sz w:val="21"/>
          <w:szCs w:val="21"/>
        </w:rPr>
        <w:t>法定代表人或代理人：（签字或盖章）</w:t>
      </w:r>
    </w:p>
    <w:p>
      <w:pPr>
        <w:pStyle w:val="48"/>
        <w:spacing w:line="360" w:lineRule="auto"/>
        <w:ind w:left="3400" w:leftChars="1619" w:firstLine="735" w:firstLineChars="350"/>
        <w:rPr>
          <w:rFonts w:hAnsi="宋体" w:eastAsia="宋体"/>
          <w:sz w:val="21"/>
          <w:szCs w:val="21"/>
        </w:rPr>
      </w:pPr>
      <w:r>
        <w:rPr>
          <w:rFonts w:hAnsi="宋体" w:eastAsia="宋体"/>
          <w:sz w:val="21"/>
          <w:szCs w:val="21"/>
        </w:rPr>
        <w:t>日期：         年     月     日</w:t>
      </w:r>
    </w:p>
    <w:p>
      <w:pPr>
        <w:pStyle w:val="48"/>
        <w:rPr>
          <w:rFonts w:hAnsi="宋体" w:eastAsia="宋体"/>
          <w:b/>
          <w:sz w:val="21"/>
          <w:szCs w:val="21"/>
        </w:rPr>
      </w:pPr>
      <w:r>
        <w:rPr>
          <w:rFonts w:hAnsi="宋体" w:eastAsia="宋体"/>
          <w:b/>
          <w:sz w:val="24"/>
          <w:szCs w:val="24"/>
        </w:rPr>
        <w:br w:type="page"/>
      </w:r>
      <w:r>
        <w:rPr>
          <w:rFonts w:hAnsi="宋体" w:eastAsia="宋体"/>
          <w:b/>
          <w:sz w:val="21"/>
          <w:szCs w:val="24"/>
        </w:rPr>
        <w:t>附件3、</w:t>
      </w:r>
      <w:r>
        <w:rPr>
          <w:rFonts w:hAnsi="宋体" w:eastAsia="宋体"/>
          <w:b/>
          <w:sz w:val="21"/>
          <w:szCs w:val="21"/>
        </w:rPr>
        <w:t>磋商报价表</w:t>
      </w:r>
    </w:p>
    <w:p>
      <w:pPr>
        <w:adjustRightInd w:val="0"/>
        <w:snapToGrid w:val="0"/>
        <w:spacing w:line="360" w:lineRule="auto"/>
        <w:rPr>
          <w:rFonts w:ascii="宋体" w:hAnsi="宋体" w:cs="宋体"/>
          <w:sz w:val="24"/>
        </w:rPr>
      </w:pPr>
      <w:r>
        <w:rPr>
          <w:rFonts w:hint="eastAsia" w:ascii="宋体" w:hAnsi="宋体" w:cs="宋体"/>
          <w:sz w:val="24"/>
        </w:rPr>
        <w:t>（一）报价表（首次）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项目名称：</w:t>
      </w:r>
      <w:r>
        <w:rPr>
          <w:rFonts w:hint="eastAsia" w:ascii="宋体" w:hAnsi="宋体" w:cs="宋体"/>
          <w:sz w:val="24"/>
          <w:lang w:eastAsia="zh-CN"/>
        </w:rPr>
        <w:t>新沂市公共资源交易中心</w:t>
      </w:r>
      <w:r>
        <w:rPr>
          <w:rFonts w:hint="eastAsia" w:ascii="宋体" w:hAnsi="宋体" w:cs="宋体"/>
          <w:sz w:val="24"/>
        </w:rPr>
        <w:t>档案整理及数字化服务项目</w:t>
      </w:r>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sz w:val="24"/>
        </w:rPr>
        <w:t>项目编号：</w:t>
      </w:r>
      <w:r>
        <w:rPr>
          <w:rFonts w:hint="eastAsia" w:ascii="宋体" w:hAnsi="宋体" w:cs="宋体"/>
          <w:color w:val="auto"/>
          <w:sz w:val="24"/>
        </w:rPr>
        <w:t>新采磋（2022）XYZYJY 1101</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货币单位：人民币元</w:t>
      </w:r>
    </w:p>
    <w:tbl>
      <w:tblPr>
        <w:tblStyle w:val="24"/>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2053"/>
        <w:gridCol w:w="2821"/>
        <w:gridCol w:w="1794"/>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97" w:type="dxa"/>
            <w:vAlign w:val="center"/>
          </w:tcPr>
          <w:p>
            <w:pPr>
              <w:jc w:val="center"/>
              <w:rPr>
                <w:rFonts w:ascii="宋体" w:hAnsi="宋体"/>
                <w:szCs w:val="21"/>
              </w:rPr>
            </w:pPr>
            <w:r>
              <w:rPr>
                <w:rFonts w:hAnsi="宋体"/>
                <w:szCs w:val="21"/>
              </w:rPr>
              <w:t xml:space="preserve">                                                </w:t>
            </w:r>
            <w:r>
              <w:rPr>
                <w:rFonts w:hint="eastAsia" w:ascii="宋体" w:hAnsi="宋体"/>
                <w:szCs w:val="21"/>
              </w:rPr>
              <w:t>序号</w:t>
            </w:r>
          </w:p>
        </w:tc>
        <w:tc>
          <w:tcPr>
            <w:tcW w:w="2053" w:type="dxa"/>
            <w:vAlign w:val="center"/>
          </w:tcPr>
          <w:p>
            <w:pPr>
              <w:jc w:val="center"/>
              <w:rPr>
                <w:rFonts w:ascii="宋体" w:hAnsi="宋体"/>
                <w:szCs w:val="21"/>
              </w:rPr>
            </w:pPr>
            <w:r>
              <w:rPr>
                <w:rFonts w:hint="eastAsia" w:ascii="宋体" w:hAnsi="宋体"/>
                <w:szCs w:val="21"/>
              </w:rPr>
              <w:t>种类</w:t>
            </w:r>
          </w:p>
        </w:tc>
        <w:tc>
          <w:tcPr>
            <w:tcW w:w="2821" w:type="dxa"/>
            <w:vAlign w:val="center"/>
          </w:tcPr>
          <w:p>
            <w:pPr>
              <w:jc w:val="center"/>
              <w:rPr>
                <w:rFonts w:ascii="宋体" w:hAnsi="宋体"/>
                <w:szCs w:val="21"/>
              </w:rPr>
            </w:pPr>
            <w:r>
              <w:rPr>
                <w:rFonts w:hint="eastAsia" w:ascii="宋体" w:hAnsi="宋体"/>
                <w:szCs w:val="21"/>
              </w:rPr>
              <w:t>数量预估</w:t>
            </w:r>
          </w:p>
        </w:tc>
        <w:tc>
          <w:tcPr>
            <w:tcW w:w="1794" w:type="dxa"/>
            <w:vAlign w:val="center"/>
          </w:tcPr>
          <w:p>
            <w:pPr>
              <w:jc w:val="center"/>
              <w:rPr>
                <w:rFonts w:ascii="宋体" w:hAnsi="宋体"/>
                <w:szCs w:val="21"/>
              </w:rPr>
            </w:pPr>
            <w:r>
              <w:rPr>
                <w:rFonts w:hint="eastAsia" w:ascii="宋体" w:hAnsi="宋体"/>
                <w:szCs w:val="21"/>
              </w:rPr>
              <w:t>单价（元）</w:t>
            </w:r>
          </w:p>
        </w:tc>
        <w:tc>
          <w:tcPr>
            <w:tcW w:w="1665" w:type="dxa"/>
            <w:vAlign w:val="center"/>
          </w:tcPr>
          <w:p>
            <w:pPr>
              <w:jc w:val="center"/>
              <w:rPr>
                <w:rFonts w:ascii="宋体" w:hAnsi="宋体"/>
                <w:szCs w:val="21"/>
              </w:rPr>
            </w:pPr>
            <w:r>
              <w:rPr>
                <w:rFonts w:hint="eastAsia" w:ascii="宋体" w:hAnsi="宋体"/>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97" w:type="dxa"/>
            <w:vAlign w:val="center"/>
          </w:tcPr>
          <w:p>
            <w:pPr>
              <w:jc w:val="center"/>
              <w:rPr>
                <w:rFonts w:ascii="宋体" w:hAnsi="宋体"/>
                <w:szCs w:val="21"/>
              </w:rPr>
            </w:pPr>
            <w:r>
              <w:rPr>
                <w:rFonts w:hint="eastAsia" w:ascii="宋体" w:hAnsi="宋体"/>
                <w:szCs w:val="21"/>
              </w:rPr>
              <w:t>1</w:t>
            </w:r>
          </w:p>
        </w:tc>
        <w:tc>
          <w:tcPr>
            <w:tcW w:w="2053" w:type="dxa"/>
            <w:vAlign w:val="center"/>
          </w:tcPr>
          <w:p>
            <w:pPr>
              <w:jc w:val="center"/>
              <w:rPr>
                <w:rFonts w:ascii="宋体" w:hAnsi="宋体" w:cs="宋体"/>
                <w:szCs w:val="21"/>
              </w:rPr>
            </w:pPr>
          </w:p>
        </w:tc>
        <w:tc>
          <w:tcPr>
            <w:tcW w:w="2821" w:type="dxa"/>
            <w:vAlign w:val="center"/>
          </w:tcPr>
          <w:p>
            <w:pPr>
              <w:jc w:val="center"/>
              <w:rPr>
                <w:rFonts w:ascii="宋体" w:hAnsi="宋体" w:cs="宋体"/>
                <w:szCs w:val="21"/>
              </w:rPr>
            </w:pPr>
          </w:p>
        </w:tc>
        <w:tc>
          <w:tcPr>
            <w:tcW w:w="1794" w:type="dxa"/>
            <w:vAlign w:val="center"/>
          </w:tcPr>
          <w:p>
            <w:pPr>
              <w:jc w:val="center"/>
              <w:rPr>
                <w:rFonts w:ascii="宋体" w:hAnsi="宋体"/>
                <w:szCs w:val="21"/>
              </w:rPr>
            </w:pPr>
          </w:p>
        </w:tc>
        <w:tc>
          <w:tcPr>
            <w:tcW w:w="166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97" w:type="dxa"/>
            <w:vAlign w:val="center"/>
          </w:tcPr>
          <w:p>
            <w:pPr>
              <w:jc w:val="center"/>
              <w:rPr>
                <w:rFonts w:ascii="宋体" w:hAnsi="宋体"/>
                <w:szCs w:val="21"/>
              </w:rPr>
            </w:pPr>
            <w:r>
              <w:rPr>
                <w:rFonts w:hint="eastAsia" w:ascii="宋体" w:hAnsi="宋体"/>
                <w:szCs w:val="21"/>
              </w:rPr>
              <w:t>2</w:t>
            </w:r>
          </w:p>
        </w:tc>
        <w:tc>
          <w:tcPr>
            <w:tcW w:w="2053" w:type="dxa"/>
            <w:vAlign w:val="center"/>
          </w:tcPr>
          <w:p>
            <w:pPr>
              <w:jc w:val="center"/>
              <w:rPr>
                <w:rFonts w:ascii="宋体" w:hAnsi="宋体" w:cs="宋体"/>
                <w:szCs w:val="21"/>
              </w:rPr>
            </w:pPr>
          </w:p>
        </w:tc>
        <w:tc>
          <w:tcPr>
            <w:tcW w:w="2821" w:type="dxa"/>
            <w:vAlign w:val="center"/>
          </w:tcPr>
          <w:p>
            <w:pPr>
              <w:jc w:val="center"/>
              <w:rPr>
                <w:rFonts w:ascii="宋体" w:hAnsi="宋体" w:cs="宋体"/>
                <w:szCs w:val="21"/>
              </w:rPr>
            </w:pPr>
          </w:p>
        </w:tc>
        <w:tc>
          <w:tcPr>
            <w:tcW w:w="1794" w:type="dxa"/>
            <w:vAlign w:val="center"/>
          </w:tcPr>
          <w:p>
            <w:pPr>
              <w:jc w:val="center"/>
              <w:rPr>
                <w:rFonts w:ascii="宋体" w:hAnsi="宋体"/>
                <w:szCs w:val="21"/>
              </w:rPr>
            </w:pPr>
          </w:p>
        </w:tc>
        <w:tc>
          <w:tcPr>
            <w:tcW w:w="166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97" w:type="dxa"/>
            <w:vAlign w:val="center"/>
          </w:tcPr>
          <w:p>
            <w:pPr>
              <w:jc w:val="center"/>
              <w:rPr>
                <w:rFonts w:ascii="宋体" w:hAnsi="宋体"/>
                <w:szCs w:val="21"/>
              </w:rPr>
            </w:pPr>
            <w:r>
              <w:rPr>
                <w:rFonts w:hint="eastAsia" w:ascii="宋体" w:hAnsi="宋体"/>
                <w:szCs w:val="21"/>
              </w:rPr>
              <w:t>3</w:t>
            </w:r>
          </w:p>
        </w:tc>
        <w:tc>
          <w:tcPr>
            <w:tcW w:w="2053" w:type="dxa"/>
            <w:vAlign w:val="center"/>
          </w:tcPr>
          <w:p>
            <w:pPr>
              <w:jc w:val="center"/>
              <w:rPr>
                <w:rFonts w:ascii="宋体" w:hAnsi="宋体" w:cs="宋体"/>
                <w:szCs w:val="21"/>
              </w:rPr>
            </w:pPr>
          </w:p>
        </w:tc>
        <w:tc>
          <w:tcPr>
            <w:tcW w:w="2821" w:type="dxa"/>
            <w:vAlign w:val="center"/>
          </w:tcPr>
          <w:p>
            <w:pPr>
              <w:jc w:val="center"/>
              <w:rPr>
                <w:rFonts w:ascii="宋体" w:hAnsi="宋体" w:cs="宋体"/>
                <w:szCs w:val="21"/>
              </w:rPr>
            </w:pPr>
          </w:p>
        </w:tc>
        <w:tc>
          <w:tcPr>
            <w:tcW w:w="1794" w:type="dxa"/>
            <w:vAlign w:val="center"/>
          </w:tcPr>
          <w:p>
            <w:pPr>
              <w:jc w:val="center"/>
              <w:rPr>
                <w:rFonts w:ascii="宋体" w:hAnsi="宋体"/>
                <w:szCs w:val="21"/>
              </w:rPr>
            </w:pPr>
          </w:p>
        </w:tc>
        <w:tc>
          <w:tcPr>
            <w:tcW w:w="166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97" w:type="dxa"/>
            <w:vAlign w:val="center"/>
          </w:tcPr>
          <w:p>
            <w:pPr>
              <w:jc w:val="center"/>
              <w:rPr>
                <w:rFonts w:ascii="宋体" w:hAnsi="宋体"/>
                <w:szCs w:val="21"/>
              </w:rPr>
            </w:pPr>
            <w:r>
              <w:rPr>
                <w:rFonts w:hint="eastAsia" w:ascii="宋体" w:hAnsi="宋体"/>
                <w:szCs w:val="21"/>
              </w:rPr>
              <w:t>4</w:t>
            </w:r>
          </w:p>
        </w:tc>
        <w:tc>
          <w:tcPr>
            <w:tcW w:w="2053" w:type="dxa"/>
            <w:vAlign w:val="center"/>
          </w:tcPr>
          <w:p>
            <w:pPr>
              <w:jc w:val="center"/>
              <w:rPr>
                <w:rFonts w:ascii="宋体" w:hAnsi="宋体" w:cs="宋体"/>
                <w:szCs w:val="21"/>
              </w:rPr>
            </w:pPr>
          </w:p>
        </w:tc>
        <w:tc>
          <w:tcPr>
            <w:tcW w:w="2821" w:type="dxa"/>
            <w:vAlign w:val="center"/>
          </w:tcPr>
          <w:p>
            <w:pPr>
              <w:jc w:val="center"/>
              <w:rPr>
                <w:rFonts w:ascii="宋体" w:hAnsi="宋体" w:cs="宋体"/>
                <w:szCs w:val="21"/>
              </w:rPr>
            </w:pPr>
          </w:p>
        </w:tc>
        <w:tc>
          <w:tcPr>
            <w:tcW w:w="1794" w:type="dxa"/>
            <w:vAlign w:val="center"/>
          </w:tcPr>
          <w:p>
            <w:pPr>
              <w:jc w:val="center"/>
              <w:rPr>
                <w:rFonts w:ascii="宋体" w:hAnsi="宋体"/>
                <w:szCs w:val="21"/>
              </w:rPr>
            </w:pPr>
          </w:p>
        </w:tc>
        <w:tc>
          <w:tcPr>
            <w:tcW w:w="166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97" w:type="dxa"/>
            <w:vAlign w:val="center"/>
          </w:tcPr>
          <w:p>
            <w:pPr>
              <w:jc w:val="center"/>
              <w:rPr>
                <w:rFonts w:ascii="宋体" w:hAnsi="宋体"/>
                <w:szCs w:val="21"/>
              </w:rPr>
            </w:pPr>
            <w:r>
              <w:rPr>
                <w:rFonts w:hint="eastAsia" w:ascii="宋体" w:hAnsi="宋体"/>
                <w:szCs w:val="21"/>
              </w:rPr>
              <w:t>5</w:t>
            </w:r>
          </w:p>
        </w:tc>
        <w:tc>
          <w:tcPr>
            <w:tcW w:w="2053" w:type="dxa"/>
            <w:vAlign w:val="center"/>
          </w:tcPr>
          <w:p>
            <w:pPr>
              <w:jc w:val="center"/>
              <w:rPr>
                <w:rFonts w:ascii="宋体" w:hAnsi="宋体" w:cs="宋体"/>
                <w:szCs w:val="21"/>
              </w:rPr>
            </w:pPr>
          </w:p>
        </w:tc>
        <w:tc>
          <w:tcPr>
            <w:tcW w:w="2821" w:type="dxa"/>
            <w:vAlign w:val="center"/>
          </w:tcPr>
          <w:p>
            <w:pPr>
              <w:jc w:val="center"/>
              <w:rPr>
                <w:rFonts w:ascii="宋体" w:hAnsi="宋体" w:cs="宋体"/>
                <w:szCs w:val="21"/>
              </w:rPr>
            </w:pPr>
          </w:p>
        </w:tc>
        <w:tc>
          <w:tcPr>
            <w:tcW w:w="1794" w:type="dxa"/>
            <w:vAlign w:val="center"/>
          </w:tcPr>
          <w:p>
            <w:pPr>
              <w:jc w:val="center"/>
              <w:rPr>
                <w:rFonts w:ascii="宋体" w:hAnsi="宋体"/>
                <w:szCs w:val="21"/>
              </w:rPr>
            </w:pPr>
          </w:p>
        </w:tc>
        <w:tc>
          <w:tcPr>
            <w:tcW w:w="166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97" w:type="dxa"/>
            <w:vAlign w:val="center"/>
          </w:tcPr>
          <w:p>
            <w:pPr>
              <w:jc w:val="center"/>
              <w:rPr>
                <w:rFonts w:ascii="宋体" w:hAnsi="宋体"/>
                <w:szCs w:val="21"/>
              </w:rPr>
            </w:pPr>
            <w:r>
              <w:rPr>
                <w:rFonts w:hint="eastAsia" w:ascii="宋体" w:hAnsi="宋体"/>
                <w:szCs w:val="21"/>
              </w:rPr>
              <w:t>6</w:t>
            </w:r>
          </w:p>
        </w:tc>
        <w:tc>
          <w:tcPr>
            <w:tcW w:w="2053" w:type="dxa"/>
            <w:vAlign w:val="center"/>
          </w:tcPr>
          <w:p>
            <w:pPr>
              <w:jc w:val="center"/>
              <w:rPr>
                <w:rFonts w:ascii="宋体" w:hAnsi="宋体" w:cs="宋体"/>
                <w:szCs w:val="21"/>
              </w:rPr>
            </w:pPr>
          </w:p>
        </w:tc>
        <w:tc>
          <w:tcPr>
            <w:tcW w:w="2821" w:type="dxa"/>
            <w:vAlign w:val="center"/>
          </w:tcPr>
          <w:p>
            <w:pPr>
              <w:jc w:val="center"/>
              <w:rPr>
                <w:rFonts w:ascii="宋体" w:hAnsi="宋体" w:cs="宋体"/>
                <w:szCs w:val="21"/>
              </w:rPr>
            </w:pPr>
          </w:p>
        </w:tc>
        <w:tc>
          <w:tcPr>
            <w:tcW w:w="1794" w:type="dxa"/>
            <w:vAlign w:val="center"/>
          </w:tcPr>
          <w:p>
            <w:pPr>
              <w:jc w:val="center"/>
              <w:rPr>
                <w:rFonts w:ascii="宋体" w:hAnsi="宋体"/>
                <w:szCs w:val="21"/>
              </w:rPr>
            </w:pPr>
          </w:p>
        </w:tc>
        <w:tc>
          <w:tcPr>
            <w:tcW w:w="166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97" w:type="dxa"/>
            <w:vAlign w:val="center"/>
          </w:tcPr>
          <w:p>
            <w:pPr>
              <w:jc w:val="center"/>
              <w:rPr>
                <w:rFonts w:ascii="宋体" w:hAnsi="宋体"/>
                <w:szCs w:val="21"/>
              </w:rPr>
            </w:pPr>
            <w:r>
              <w:rPr>
                <w:rFonts w:hint="eastAsia" w:ascii="宋体" w:hAnsi="宋体"/>
                <w:szCs w:val="21"/>
              </w:rPr>
              <w:t>7</w:t>
            </w:r>
          </w:p>
        </w:tc>
        <w:tc>
          <w:tcPr>
            <w:tcW w:w="2053" w:type="dxa"/>
            <w:vAlign w:val="center"/>
          </w:tcPr>
          <w:p>
            <w:pPr>
              <w:jc w:val="center"/>
              <w:rPr>
                <w:rFonts w:ascii="宋体" w:hAnsi="宋体" w:cs="宋体"/>
                <w:szCs w:val="21"/>
              </w:rPr>
            </w:pPr>
          </w:p>
        </w:tc>
        <w:tc>
          <w:tcPr>
            <w:tcW w:w="2821" w:type="dxa"/>
            <w:vAlign w:val="center"/>
          </w:tcPr>
          <w:p>
            <w:pPr>
              <w:jc w:val="center"/>
              <w:rPr>
                <w:rFonts w:ascii="宋体" w:hAnsi="宋体" w:cs="宋体"/>
                <w:szCs w:val="21"/>
              </w:rPr>
            </w:pPr>
          </w:p>
        </w:tc>
        <w:tc>
          <w:tcPr>
            <w:tcW w:w="1794" w:type="dxa"/>
            <w:vAlign w:val="center"/>
          </w:tcPr>
          <w:p>
            <w:pPr>
              <w:jc w:val="center"/>
              <w:rPr>
                <w:rFonts w:ascii="宋体" w:hAnsi="宋体"/>
                <w:szCs w:val="21"/>
              </w:rPr>
            </w:pPr>
          </w:p>
        </w:tc>
        <w:tc>
          <w:tcPr>
            <w:tcW w:w="166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97" w:type="dxa"/>
            <w:vAlign w:val="center"/>
          </w:tcPr>
          <w:p>
            <w:pPr>
              <w:jc w:val="center"/>
              <w:rPr>
                <w:rFonts w:ascii="宋体" w:hAnsi="宋体"/>
                <w:szCs w:val="21"/>
              </w:rPr>
            </w:pPr>
            <w:r>
              <w:rPr>
                <w:rFonts w:hint="eastAsia" w:ascii="宋体" w:hAnsi="宋体"/>
                <w:szCs w:val="21"/>
              </w:rPr>
              <w:t>8</w:t>
            </w:r>
          </w:p>
        </w:tc>
        <w:tc>
          <w:tcPr>
            <w:tcW w:w="2053" w:type="dxa"/>
            <w:vAlign w:val="center"/>
          </w:tcPr>
          <w:p>
            <w:pPr>
              <w:jc w:val="center"/>
              <w:rPr>
                <w:rFonts w:ascii="宋体" w:hAnsi="宋体"/>
                <w:szCs w:val="21"/>
              </w:rPr>
            </w:pPr>
          </w:p>
        </w:tc>
        <w:tc>
          <w:tcPr>
            <w:tcW w:w="2821" w:type="dxa"/>
            <w:vAlign w:val="center"/>
          </w:tcPr>
          <w:p>
            <w:pPr>
              <w:jc w:val="center"/>
              <w:rPr>
                <w:rFonts w:ascii="宋体" w:hAnsi="宋体"/>
                <w:szCs w:val="21"/>
              </w:rPr>
            </w:pPr>
          </w:p>
        </w:tc>
        <w:tc>
          <w:tcPr>
            <w:tcW w:w="1794" w:type="dxa"/>
            <w:vAlign w:val="center"/>
          </w:tcPr>
          <w:p>
            <w:pPr>
              <w:jc w:val="center"/>
              <w:rPr>
                <w:rFonts w:ascii="宋体" w:hAnsi="宋体"/>
                <w:szCs w:val="21"/>
              </w:rPr>
            </w:pPr>
          </w:p>
        </w:tc>
        <w:tc>
          <w:tcPr>
            <w:tcW w:w="166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950" w:type="dxa"/>
            <w:gridSpan w:val="2"/>
            <w:vAlign w:val="center"/>
          </w:tcPr>
          <w:p>
            <w:pPr>
              <w:jc w:val="center"/>
              <w:rPr>
                <w:rFonts w:ascii="宋体" w:hAnsi="宋体"/>
                <w:szCs w:val="21"/>
              </w:rPr>
            </w:pPr>
            <w:r>
              <w:rPr>
                <w:rFonts w:hint="eastAsia" w:ascii="宋体" w:hAnsi="宋体"/>
                <w:szCs w:val="21"/>
              </w:rPr>
              <w:t>磋商总价</w:t>
            </w:r>
          </w:p>
        </w:tc>
        <w:tc>
          <w:tcPr>
            <w:tcW w:w="6280" w:type="dxa"/>
            <w:gridSpan w:val="3"/>
            <w:vAlign w:val="center"/>
          </w:tcPr>
          <w:p>
            <w:pPr>
              <w:jc w:val="center"/>
              <w:rPr>
                <w:rFonts w:ascii="宋体" w:hAnsi="宋体"/>
                <w:szCs w:val="21"/>
                <w:u w:val="single"/>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950" w:type="dxa"/>
            <w:gridSpan w:val="2"/>
            <w:vAlign w:val="center"/>
          </w:tcPr>
          <w:p>
            <w:pPr>
              <w:jc w:val="center"/>
              <w:rPr>
                <w:rFonts w:ascii="宋体" w:hAnsi="宋体"/>
                <w:szCs w:val="21"/>
              </w:rPr>
            </w:pPr>
            <w:r>
              <w:rPr>
                <w:rFonts w:hint="eastAsia" w:ascii="宋体" w:hAnsi="宋体"/>
                <w:szCs w:val="21"/>
              </w:rPr>
              <w:t>是否小微、监狱、残疾人企业</w:t>
            </w:r>
          </w:p>
        </w:tc>
        <w:tc>
          <w:tcPr>
            <w:tcW w:w="6280" w:type="dxa"/>
            <w:gridSpan w:val="3"/>
            <w:vAlign w:val="center"/>
          </w:tcPr>
          <w:p>
            <w:pPr>
              <w:jc w:val="center"/>
              <w:rPr>
                <w:rFonts w:ascii="宋体" w:hAnsi="宋体"/>
                <w:szCs w:val="21"/>
              </w:rPr>
            </w:pPr>
            <w:r>
              <w:rPr>
                <w:rFonts w:hint="eastAsia" w:ascii="宋体" w:hAnsi="宋体"/>
                <w:szCs w:val="21"/>
              </w:rPr>
              <w:t>□是        □否</w:t>
            </w:r>
          </w:p>
        </w:tc>
      </w:tr>
    </w:tbl>
    <w:p>
      <w:pPr>
        <w:adjustRightInd w:val="0"/>
        <w:snapToGrid w:val="0"/>
        <w:spacing w:line="360" w:lineRule="auto"/>
        <w:ind w:firstLine="480" w:firstLineChars="200"/>
        <w:jc w:val="left"/>
        <w:rPr>
          <w:rFonts w:ascii="宋体" w:hAnsi="宋体" w:cs="宋体"/>
          <w:sz w:val="24"/>
        </w:rPr>
      </w:pP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供应商承诺：本报价（总价）为供应商本企业提供的服务。</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报价说明：</w:t>
      </w:r>
    </w:p>
    <w:p>
      <w:pPr>
        <w:widowControl/>
        <w:adjustRightInd w:val="0"/>
        <w:snapToGrid w:val="0"/>
        <w:spacing w:line="360" w:lineRule="auto"/>
        <w:jc w:val="left"/>
        <w:rPr>
          <w:rFonts w:ascii="宋体" w:hAnsi="宋体" w:cs="宋体"/>
          <w:sz w:val="24"/>
        </w:rPr>
      </w:pPr>
      <w:r>
        <w:rPr>
          <w:rFonts w:hint="eastAsia" w:ascii="宋体" w:hAnsi="宋体" w:cs="宋体"/>
          <w:sz w:val="24"/>
        </w:rPr>
        <w:t>1、报价包括完成项目的所有费用。采购人不再支付报价以外的任何费用。</w:t>
      </w:r>
    </w:p>
    <w:p>
      <w:pPr>
        <w:widowControl/>
        <w:adjustRightInd w:val="0"/>
        <w:snapToGrid w:val="0"/>
        <w:spacing w:line="360" w:lineRule="auto"/>
        <w:jc w:val="left"/>
        <w:rPr>
          <w:rFonts w:ascii="宋体" w:hAnsi="宋体" w:cs="宋体"/>
          <w:sz w:val="24"/>
        </w:rPr>
      </w:pPr>
      <w:r>
        <w:rPr>
          <w:rFonts w:hint="eastAsia" w:ascii="宋体" w:hAnsi="宋体" w:cs="宋体"/>
          <w:sz w:val="24"/>
        </w:rPr>
        <w:t>2、报价以总价为准，大小写不一致以大写为准；</w:t>
      </w:r>
    </w:p>
    <w:p>
      <w:pPr>
        <w:widowControl/>
        <w:adjustRightInd w:val="0"/>
        <w:snapToGrid w:val="0"/>
        <w:spacing w:line="360" w:lineRule="auto"/>
        <w:jc w:val="left"/>
        <w:rPr>
          <w:rFonts w:ascii="宋体" w:hAnsi="宋体" w:cs="宋体"/>
          <w:sz w:val="24"/>
        </w:rPr>
      </w:pPr>
      <w:r>
        <w:rPr>
          <w:rFonts w:hint="eastAsia" w:ascii="宋体" w:hAnsi="宋体" w:cs="宋体"/>
          <w:sz w:val="24"/>
        </w:rPr>
        <w:t>3、偏离说明：详见《偏离表》；</w:t>
      </w:r>
    </w:p>
    <w:p>
      <w:pPr>
        <w:widowControl/>
        <w:adjustRightInd w:val="0"/>
        <w:snapToGrid w:val="0"/>
        <w:spacing w:line="360" w:lineRule="auto"/>
        <w:jc w:val="left"/>
        <w:rPr>
          <w:rFonts w:ascii="宋体" w:hAnsi="宋体" w:cs="宋体"/>
          <w:sz w:val="24"/>
        </w:rPr>
      </w:pPr>
      <w:r>
        <w:rPr>
          <w:rFonts w:hint="eastAsia" w:ascii="宋体" w:hAnsi="宋体" w:cs="宋体"/>
          <w:sz w:val="24"/>
        </w:rPr>
        <w:t>4、如最后报价未列明单价，则最后所报各项单价计算方法为：（最后总价/最初总价）*各项最初报价的单价。</w:t>
      </w:r>
    </w:p>
    <w:p>
      <w:pPr>
        <w:widowControl/>
        <w:adjustRightInd w:val="0"/>
        <w:snapToGrid w:val="0"/>
        <w:spacing w:line="360" w:lineRule="auto"/>
        <w:ind w:firstLine="480" w:firstLineChars="200"/>
        <w:jc w:val="left"/>
        <w:rPr>
          <w:rFonts w:ascii="宋体" w:hAnsi="宋体" w:cs="宋体"/>
          <w:sz w:val="24"/>
        </w:rPr>
      </w:pP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供应商名称：</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供应商（公章）：</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法定代表人(负责人)或授权代表（签字或盖章）：</w:t>
      </w:r>
    </w:p>
    <w:p>
      <w:pPr>
        <w:adjustRightInd w:val="0"/>
        <w:snapToGrid w:val="0"/>
        <w:spacing w:line="360" w:lineRule="auto"/>
        <w:ind w:firstLine="480" w:firstLineChars="200"/>
        <w:jc w:val="left"/>
      </w:pPr>
      <w:r>
        <w:rPr>
          <w:rFonts w:hint="eastAsia" w:ascii="宋体" w:hAnsi="宋体" w:cs="宋体"/>
          <w:sz w:val="24"/>
        </w:rPr>
        <w:t>报价时间：   年  月  日</w:t>
      </w:r>
    </w:p>
    <w:p>
      <w:pPr>
        <w:spacing w:line="400" w:lineRule="exact"/>
        <w:rPr>
          <w:rFonts w:ascii="宋体" w:hAnsi="宋体"/>
          <w:b/>
          <w:sz w:val="30"/>
          <w:szCs w:val="30"/>
        </w:rPr>
      </w:pPr>
    </w:p>
    <w:p>
      <w:pPr>
        <w:widowControl/>
        <w:adjustRightInd w:val="0"/>
        <w:snapToGrid w:val="0"/>
        <w:spacing w:line="360" w:lineRule="auto"/>
        <w:rPr>
          <w:rFonts w:ascii="宋体" w:hAnsi="宋体" w:cs="宋体"/>
          <w:b/>
          <w:bCs/>
          <w:sz w:val="24"/>
        </w:rPr>
      </w:pPr>
      <w:r>
        <w:rPr>
          <w:rFonts w:hint="eastAsia" w:ascii="宋体" w:hAnsi="宋体" w:cs="宋体"/>
          <w:sz w:val="24"/>
        </w:rPr>
        <w:t>（二）</w:t>
      </w:r>
      <w:r>
        <w:rPr>
          <w:rStyle w:val="50"/>
          <w:rFonts w:hint="eastAsia" w:ascii="宋体" w:hAnsi="宋体"/>
          <w:sz w:val="24"/>
        </w:rPr>
        <w:t>分项价格表</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项目名称：新沂市</w:t>
      </w:r>
      <w:r>
        <w:rPr>
          <w:rFonts w:hint="eastAsia" w:ascii="宋体" w:hAnsi="宋体" w:cs="宋体"/>
          <w:sz w:val="24"/>
          <w:lang w:eastAsia="zh-CN"/>
        </w:rPr>
        <w:t>公共资源交易中心</w:t>
      </w:r>
      <w:r>
        <w:rPr>
          <w:rFonts w:hint="eastAsia" w:ascii="宋体" w:hAnsi="宋体" w:cs="宋体"/>
          <w:sz w:val="24"/>
        </w:rPr>
        <w:t>档案整理及数字化服务项目</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项目编号：</w:t>
      </w:r>
      <w:r>
        <w:rPr>
          <w:rFonts w:hint="eastAsia" w:ascii="宋体" w:hAnsi="宋体" w:cs="宋体"/>
          <w:color w:val="auto"/>
          <w:sz w:val="24"/>
          <w:highlight w:val="none"/>
        </w:rPr>
        <w:t xml:space="preserve">新采磋（2022）XYZYJY 1101 </w:t>
      </w:r>
    </w:p>
    <w:p>
      <w:pPr>
        <w:spacing w:line="460" w:lineRule="exact"/>
        <w:ind w:firstLine="540" w:firstLineChars="225"/>
        <w:rPr>
          <w:rFonts w:ascii="宋体" w:hAnsi="宋体" w:cs="宋体"/>
          <w:sz w:val="24"/>
        </w:rPr>
      </w:pPr>
      <w:r>
        <w:rPr>
          <w:rFonts w:hint="eastAsia" w:ascii="宋体" w:hAnsi="宋体" w:cs="宋体"/>
          <w:sz w:val="24"/>
        </w:rPr>
        <w:t>货币单位：人民币元</w:t>
      </w:r>
    </w:p>
    <w:p>
      <w:pPr>
        <w:pStyle w:val="18"/>
        <w:spacing w:line="460" w:lineRule="exact"/>
      </w:pPr>
    </w:p>
    <w:p>
      <w:pPr>
        <w:spacing w:line="460" w:lineRule="exact"/>
        <w:ind w:firstLine="630" w:firstLineChars="225"/>
        <w:rPr>
          <w:rFonts w:ascii="仿宋" w:hAnsi="仿宋" w:eastAsia="仿宋"/>
          <w:bCs/>
          <w:sz w:val="28"/>
          <w:szCs w:val="28"/>
          <w:lang w:val="zh-CN"/>
        </w:rPr>
      </w:pPr>
      <w:r>
        <w:rPr>
          <w:rFonts w:hint="eastAsia" w:ascii="仿宋" w:hAnsi="仿宋" w:eastAsia="仿宋"/>
          <w:bCs/>
          <w:sz w:val="28"/>
          <w:szCs w:val="28"/>
          <w:lang w:val="zh-CN"/>
        </w:rPr>
        <w:t>（注：本表是对《报价表》的补充说明，由谈判供应商自定义格式详细填写，表中的数量、金额合计数应与报价表相符。）</w:t>
      </w:r>
    </w:p>
    <w:p>
      <w:pPr>
        <w:adjustRightInd w:val="0"/>
        <w:snapToGrid w:val="0"/>
        <w:spacing w:line="460" w:lineRule="exact"/>
        <w:ind w:firstLine="480" w:firstLineChars="200"/>
        <w:jc w:val="left"/>
        <w:rPr>
          <w:rFonts w:ascii="宋体" w:hAnsi="宋体" w:cs="宋体"/>
          <w:sz w:val="24"/>
        </w:rPr>
      </w:pPr>
    </w:p>
    <w:p>
      <w:pPr>
        <w:adjustRightInd w:val="0"/>
        <w:snapToGrid w:val="0"/>
        <w:spacing w:line="360" w:lineRule="auto"/>
        <w:ind w:firstLine="480" w:firstLineChars="200"/>
        <w:jc w:val="left"/>
        <w:rPr>
          <w:rFonts w:ascii="宋体" w:hAnsi="宋体" w:cs="宋体"/>
          <w:sz w:val="24"/>
        </w:rPr>
      </w:pP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供应商名称：</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供应商（公章）：</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法定代表人(负责人)或授权代表（签字或盖章）：</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日期：</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供应商报价说明：</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1．报价包括全部费用。采购人不需再支付报价以外的任何费用。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2．偏离说明：详见《偏离表》。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3．报价大小写不一致以大写为准。</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4．报价与响应文件（首次）中的总价一致。</w:t>
      </w:r>
    </w:p>
    <w:p>
      <w:pPr>
        <w:pStyle w:val="18"/>
      </w:pPr>
      <w:r>
        <w:br w:type="page"/>
      </w:r>
    </w:p>
    <w:p>
      <w:pPr>
        <w:adjustRightInd w:val="0"/>
        <w:snapToGrid w:val="0"/>
        <w:spacing w:line="360" w:lineRule="auto"/>
        <w:jc w:val="left"/>
        <w:rPr>
          <w:rFonts w:ascii="宋体" w:hAnsi="宋体" w:cs="宋体"/>
          <w:b/>
          <w:bCs/>
          <w:sz w:val="24"/>
        </w:rPr>
      </w:pPr>
      <w:r>
        <w:rPr>
          <w:rStyle w:val="50"/>
          <w:rFonts w:hint="eastAsia" w:ascii="宋体" w:hAnsi="宋体"/>
          <w:sz w:val="24"/>
        </w:rPr>
        <w:t>（三）磋商报价表（二次、最终）</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sz w:val="24"/>
        </w:rPr>
        <w:t>项目编号：</w:t>
      </w:r>
      <w:r>
        <w:rPr>
          <w:rFonts w:hint="eastAsia" w:ascii="宋体" w:hAnsi="宋体" w:cs="宋体"/>
          <w:color w:val="auto"/>
          <w:sz w:val="24"/>
          <w:highlight w:val="none"/>
        </w:rPr>
        <w:t>新采磋（2022）XYZYJY 1101</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货币单位：人民币元</w:t>
      </w:r>
    </w:p>
    <w:tbl>
      <w:tblPr>
        <w:tblStyle w:val="24"/>
        <w:tblW w:w="9590" w:type="dxa"/>
        <w:jc w:val="center"/>
        <w:tblInd w:w="0" w:type="dxa"/>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3080"/>
        <w:gridCol w:w="2231"/>
        <w:gridCol w:w="1950"/>
        <w:gridCol w:w="2329"/>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Ex>
        <w:trPr>
          <w:cantSplit/>
          <w:trHeight w:val="631" w:hRule="atLeast"/>
          <w:jc w:val="center"/>
        </w:trPr>
        <w:tc>
          <w:tcPr>
            <w:tcW w:w="3080" w:type="dxa"/>
            <w:tcBorders>
              <w:top w:val="double" w:color="000000" w:sz="6" w:space="0"/>
              <w:left w:val="double" w:color="000000" w:sz="6" w:space="0"/>
              <w:bottom w:val="double" w:color="000000" w:sz="2" w:space="0"/>
              <w:right w:val="double" w:color="000000" w:sz="2" w:space="0"/>
            </w:tcBorders>
            <w:vAlign w:val="center"/>
          </w:tcPr>
          <w:p>
            <w:pPr>
              <w:adjustRightInd w:val="0"/>
              <w:snapToGrid w:val="0"/>
              <w:jc w:val="center"/>
              <w:rPr>
                <w:rFonts w:ascii="宋体" w:hAnsi="宋体" w:cs="宋体"/>
                <w:b/>
                <w:sz w:val="24"/>
              </w:rPr>
            </w:pPr>
            <w:r>
              <w:rPr>
                <w:rFonts w:hint="eastAsia" w:ascii="宋体" w:hAnsi="宋体" w:cs="宋体"/>
                <w:b/>
                <w:sz w:val="24"/>
              </w:rPr>
              <w:t>项目名称</w:t>
            </w:r>
          </w:p>
        </w:tc>
        <w:tc>
          <w:tcPr>
            <w:tcW w:w="2231" w:type="dxa"/>
            <w:tcBorders>
              <w:top w:val="double" w:color="000000" w:sz="6" w:space="0"/>
              <w:left w:val="double" w:color="000000" w:sz="2" w:space="0"/>
              <w:bottom w:val="double" w:color="000000" w:sz="2" w:space="0"/>
              <w:right w:val="double" w:color="000000" w:sz="2" w:space="0"/>
            </w:tcBorders>
            <w:vAlign w:val="center"/>
          </w:tcPr>
          <w:p>
            <w:pPr>
              <w:adjustRightInd w:val="0"/>
              <w:snapToGrid w:val="0"/>
              <w:jc w:val="center"/>
              <w:rPr>
                <w:rFonts w:ascii="宋体" w:hAnsi="宋体" w:cs="宋体"/>
                <w:b/>
                <w:sz w:val="24"/>
              </w:rPr>
            </w:pPr>
            <w:r>
              <w:rPr>
                <w:rFonts w:hint="eastAsia" w:ascii="宋体" w:hAnsi="宋体" w:cs="宋体"/>
                <w:b/>
                <w:sz w:val="24"/>
              </w:rPr>
              <w:t>项目内容</w:t>
            </w:r>
          </w:p>
        </w:tc>
        <w:tc>
          <w:tcPr>
            <w:tcW w:w="1950" w:type="dxa"/>
            <w:tcBorders>
              <w:top w:val="double" w:color="000000" w:sz="6" w:space="0"/>
              <w:left w:val="double" w:color="000000" w:sz="2" w:space="0"/>
              <w:bottom w:val="double" w:color="000000" w:sz="2" w:space="0"/>
              <w:right w:val="double" w:color="000000" w:sz="2" w:space="0"/>
            </w:tcBorders>
            <w:vAlign w:val="center"/>
          </w:tcPr>
          <w:p>
            <w:pPr>
              <w:adjustRightInd w:val="0"/>
              <w:snapToGrid w:val="0"/>
              <w:jc w:val="center"/>
              <w:rPr>
                <w:rFonts w:ascii="宋体" w:hAnsi="宋体" w:cs="宋体"/>
                <w:b/>
                <w:sz w:val="24"/>
              </w:rPr>
            </w:pPr>
            <w:r>
              <w:rPr>
                <w:rFonts w:hint="eastAsia" w:ascii="宋体" w:hAnsi="宋体" w:cs="宋体"/>
                <w:b/>
                <w:sz w:val="24"/>
              </w:rPr>
              <w:t>数量</w:t>
            </w:r>
          </w:p>
        </w:tc>
        <w:tc>
          <w:tcPr>
            <w:tcW w:w="2329" w:type="dxa"/>
            <w:tcBorders>
              <w:top w:val="double" w:color="000000" w:sz="6" w:space="0"/>
              <w:left w:val="double" w:color="000000" w:sz="2" w:space="0"/>
              <w:bottom w:val="double" w:color="000000" w:sz="2" w:space="0"/>
              <w:right w:val="double" w:color="000000" w:sz="2" w:space="0"/>
            </w:tcBorders>
            <w:vAlign w:val="center"/>
          </w:tcPr>
          <w:p>
            <w:pPr>
              <w:adjustRightInd w:val="0"/>
              <w:snapToGrid w:val="0"/>
              <w:jc w:val="center"/>
              <w:rPr>
                <w:rFonts w:ascii="宋体" w:hAnsi="宋体" w:cs="宋体"/>
                <w:b/>
                <w:sz w:val="24"/>
              </w:rPr>
            </w:pPr>
            <w:r>
              <w:rPr>
                <w:rFonts w:hint="eastAsia" w:ascii="宋体" w:hAnsi="宋体" w:cs="宋体"/>
                <w:b/>
                <w:sz w:val="24"/>
              </w:rPr>
              <w:t>报价（小写）</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Ex>
        <w:trPr>
          <w:cantSplit/>
          <w:trHeight w:val="1550" w:hRule="atLeast"/>
          <w:jc w:val="center"/>
        </w:trPr>
        <w:tc>
          <w:tcPr>
            <w:tcW w:w="3080" w:type="dxa"/>
            <w:tcBorders>
              <w:top w:val="double" w:color="000000" w:sz="2" w:space="0"/>
              <w:left w:val="double" w:color="000000" w:sz="6" w:space="0"/>
              <w:bottom w:val="double" w:color="000000" w:sz="2" w:space="0"/>
              <w:right w:val="double" w:color="000000" w:sz="2" w:space="0"/>
            </w:tcBorders>
            <w:vAlign w:val="center"/>
          </w:tcPr>
          <w:p>
            <w:pPr>
              <w:adjustRightInd w:val="0"/>
              <w:snapToGrid w:val="0"/>
              <w:rPr>
                <w:rFonts w:ascii="宋体" w:hAnsi="宋体" w:cs="宋体"/>
                <w:sz w:val="24"/>
              </w:rPr>
            </w:pPr>
            <w:r>
              <w:rPr>
                <w:rFonts w:hint="eastAsia" w:ascii="宋体" w:hAnsi="宋体"/>
                <w:sz w:val="24"/>
              </w:rPr>
              <w:t>新沂市</w:t>
            </w:r>
            <w:r>
              <w:rPr>
                <w:rFonts w:hint="eastAsia" w:ascii="宋体" w:hAnsi="宋体"/>
                <w:sz w:val="24"/>
                <w:lang w:eastAsia="zh-CN"/>
              </w:rPr>
              <w:t>公共资源交易中心</w:t>
            </w:r>
            <w:r>
              <w:rPr>
                <w:rFonts w:hint="eastAsia" w:ascii="宋体" w:hAnsi="宋体"/>
                <w:sz w:val="24"/>
              </w:rPr>
              <w:t>档案整理及数字化服务项目</w:t>
            </w:r>
          </w:p>
        </w:tc>
        <w:tc>
          <w:tcPr>
            <w:tcW w:w="2231" w:type="dxa"/>
            <w:tcBorders>
              <w:top w:val="double" w:color="000000" w:sz="2" w:space="0"/>
              <w:left w:val="double" w:color="000000" w:sz="2" w:space="0"/>
              <w:bottom w:val="double" w:color="000000" w:sz="2" w:space="0"/>
              <w:right w:val="double" w:color="000000" w:sz="2" w:space="0"/>
            </w:tcBorders>
            <w:vAlign w:val="center"/>
          </w:tcPr>
          <w:p>
            <w:pPr>
              <w:adjustRightInd w:val="0"/>
              <w:snapToGrid w:val="0"/>
              <w:jc w:val="center"/>
              <w:rPr>
                <w:rFonts w:ascii="宋体" w:hAnsi="宋体" w:cs="宋体"/>
                <w:sz w:val="24"/>
              </w:rPr>
            </w:pPr>
            <w:r>
              <w:rPr>
                <w:rFonts w:hint="eastAsia" w:ascii="宋体" w:hAnsi="宋体" w:cs="宋体"/>
                <w:sz w:val="24"/>
              </w:rPr>
              <w:t>详见响应文件</w:t>
            </w:r>
          </w:p>
        </w:tc>
        <w:tc>
          <w:tcPr>
            <w:tcW w:w="1950" w:type="dxa"/>
            <w:tcBorders>
              <w:top w:val="double" w:color="000000" w:sz="2" w:space="0"/>
              <w:left w:val="double" w:color="000000" w:sz="2" w:space="0"/>
              <w:bottom w:val="double" w:color="000000" w:sz="2" w:space="0"/>
              <w:right w:val="double" w:color="000000" w:sz="2" w:space="0"/>
            </w:tcBorders>
            <w:vAlign w:val="center"/>
          </w:tcPr>
          <w:p>
            <w:pPr>
              <w:adjustRightInd w:val="0"/>
              <w:snapToGrid w:val="0"/>
              <w:jc w:val="center"/>
              <w:rPr>
                <w:rFonts w:ascii="宋体" w:hAnsi="宋体" w:cs="宋体"/>
                <w:sz w:val="24"/>
              </w:rPr>
            </w:pPr>
            <w:r>
              <w:rPr>
                <w:rFonts w:hint="eastAsia" w:ascii="宋体" w:hAnsi="宋体" w:cs="宋体"/>
                <w:sz w:val="24"/>
              </w:rPr>
              <w:t>1项</w:t>
            </w:r>
          </w:p>
        </w:tc>
        <w:tc>
          <w:tcPr>
            <w:tcW w:w="2329" w:type="dxa"/>
            <w:tcBorders>
              <w:top w:val="double" w:color="000000" w:sz="2" w:space="0"/>
              <w:left w:val="double" w:color="000000" w:sz="2" w:space="0"/>
              <w:bottom w:val="double" w:color="000000" w:sz="2" w:space="0"/>
              <w:right w:val="double" w:color="000000" w:sz="2" w:space="0"/>
            </w:tcBorders>
            <w:vAlign w:val="center"/>
          </w:tcPr>
          <w:p>
            <w:pPr>
              <w:adjustRightInd w:val="0"/>
              <w:snapToGrid w:val="0"/>
              <w:rPr>
                <w:rFonts w:ascii="宋体" w:hAnsi="宋体" w:cs="宋体"/>
                <w:sz w:val="24"/>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Ex>
        <w:trPr>
          <w:cantSplit/>
          <w:trHeight w:val="789" w:hRule="atLeast"/>
          <w:jc w:val="center"/>
        </w:trPr>
        <w:tc>
          <w:tcPr>
            <w:tcW w:w="3080" w:type="dxa"/>
            <w:tcBorders>
              <w:top w:val="double" w:color="000000" w:sz="2" w:space="0"/>
              <w:left w:val="double" w:color="000000" w:sz="6" w:space="0"/>
              <w:bottom w:val="double" w:color="000000" w:sz="2" w:space="0"/>
              <w:right w:val="double" w:color="000000" w:sz="2" w:space="0"/>
            </w:tcBorders>
            <w:vAlign w:val="center"/>
          </w:tcPr>
          <w:p>
            <w:pPr>
              <w:adjustRightInd w:val="0"/>
              <w:snapToGrid w:val="0"/>
              <w:rPr>
                <w:rFonts w:ascii="宋体" w:hAnsi="宋体" w:cs="宋体"/>
                <w:sz w:val="24"/>
              </w:rPr>
            </w:pPr>
            <w:r>
              <w:rPr>
                <w:rFonts w:hint="eastAsia" w:ascii="宋体" w:hAnsi="宋体" w:cs="宋体"/>
                <w:sz w:val="24"/>
              </w:rPr>
              <w:t>报价合计（大写）：</w:t>
            </w:r>
          </w:p>
        </w:tc>
        <w:tc>
          <w:tcPr>
            <w:tcW w:w="6510" w:type="dxa"/>
            <w:gridSpan w:val="3"/>
            <w:tcBorders>
              <w:top w:val="double" w:color="000000" w:sz="2" w:space="0"/>
              <w:left w:val="double" w:color="000000" w:sz="2" w:space="0"/>
              <w:bottom w:val="double" w:color="000000" w:sz="2" w:space="0"/>
              <w:right w:val="double" w:color="000000" w:sz="2" w:space="0"/>
            </w:tcBorders>
            <w:vAlign w:val="center"/>
          </w:tcPr>
          <w:p>
            <w:pPr>
              <w:adjustRightInd w:val="0"/>
              <w:snapToGrid w:val="0"/>
              <w:rPr>
                <w:rFonts w:ascii="宋体" w:hAnsi="宋体" w:cs="宋体"/>
                <w:sz w:val="24"/>
              </w:rPr>
            </w:pPr>
          </w:p>
        </w:tc>
      </w:tr>
    </w:tbl>
    <w:p>
      <w:pPr>
        <w:widowControl/>
        <w:adjustRightInd w:val="0"/>
        <w:snapToGrid w:val="0"/>
        <w:spacing w:line="360" w:lineRule="auto"/>
        <w:ind w:firstLine="480" w:firstLineChars="200"/>
        <w:jc w:val="left"/>
        <w:rPr>
          <w:rFonts w:ascii="宋体" w:hAnsi="宋体" w:cs="宋体"/>
          <w:sz w:val="24"/>
        </w:rPr>
      </w:pP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供应商承诺：本报价（总价）为供应商本企业提供的服务。</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报价说明：</w:t>
      </w:r>
    </w:p>
    <w:p>
      <w:pPr>
        <w:widowControl/>
        <w:adjustRightInd w:val="0"/>
        <w:snapToGrid w:val="0"/>
        <w:spacing w:line="360" w:lineRule="auto"/>
        <w:jc w:val="left"/>
        <w:rPr>
          <w:rFonts w:ascii="宋体" w:hAnsi="宋体" w:cs="宋体"/>
          <w:sz w:val="24"/>
        </w:rPr>
      </w:pPr>
      <w:r>
        <w:rPr>
          <w:rFonts w:hint="eastAsia" w:ascii="宋体" w:hAnsi="宋体" w:cs="宋体"/>
          <w:sz w:val="24"/>
        </w:rPr>
        <w:t>1、报价包括完成项目的所有费用。采购人不再支付报价以外的任何费用。</w:t>
      </w:r>
    </w:p>
    <w:p>
      <w:pPr>
        <w:widowControl/>
        <w:adjustRightInd w:val="0"/>
        <w:snapToGrid w:val="0"/>
        <w:spacing w:line="360" w:lineRule="auto"/>
        <w:jc w:val="left"/>
        <w:rPr>
          <w:rFonts w:ascii="宋体" w:hAnsi="宋体" w:cs="宋体"/>
          <w:sz w:val="24"/>
        </w:rPr>
      </w:pPr>
      <w:r>
        <w:rPr>
          <w:rFonts w:hint="eastAsia" w:ascii="宋体" w:hAnsi="宋体" w:cs="宋体"/>
          <w:sz w:val="24"/>
        </w:rPr>
        <w:t>2、报价以总价为准，大小写不一致以大写为准；</w:t>
      </w:r>
    </w:p>
    <w:p>
      <w:pPr>
        <w:widowControl/>
        <w:adjustRightInd w:val="0"/>
        <w:snapToGrid w:val="0"/>
        <w:spacing w:line="360" w:lineRule="auto"/>
        <w:jc w:val="left"/>
        <w:rPr>
          <w:rFonts w:ascii="宋体" w:hAnsi="宋体" w:cs="宋体"/>
          <w:sz w:val="24"/>
        </w:rPr>
      </w:pPr>
      <w:r>
        <w:rPr>
          <w:rFonts w:hint="eastAsia" w:ascii="宋体" w:hAnsi="宋体" w:cs="宋体"/>
          <w:sz w:val="24"/>
        </w:rPr>
        <w:t>3、偏离说明：详见《偏离表》；</w:t>
      </w:r>
    </w:p>
    <w:p>
      <w:pPr>
        <w:widowControl/>
        <w:adjustRightInd w:val="0"/>
        <w:snapToGrid w:val="0"/>
        <w:spacing w:line="360" w:lineRule="auto"/>
        <w:jc w:val="left"/>
        <w:rPr>
          <w:rFonts w:ascii="宋体" w:hAnsi="宋体" w:cs="宋体"/>
          <w:sz w:val="24"/>
        </w:rPr>
      </w:pPr>
      <w:r>
        <w:rPr>
          <w:rFonts w:hint="eastAsia" w:ascii="宋体" w:hAnsi="宋体" w:cs="宋体"/>
          <w:sz w:val="24"/>
        </w:rPr>
        <w:t>4、如最后报价未列明单价，则最后所报各项单价计算方法为：（最后总价/最初总价）*各项最初报价的单价，不得随意确定各分项价格。。</w:t>
      </w:r>
    </w:p>
    <w:p>
      <w:pPr>
        <w:adjustRightInd w:val="0"/>
        <w:snapToGrid w:val="0"/>
        <w:spacing w:line="360" w:lineRule="auto"/>
        <w:ind w:firstLine="480" w:firstLineChars="200"/>
        <w:jc w:val="left"/>
        <w:rPr>
          <w:rFonts w:ascii="宋体" w:hAnsi="宋体" w:cs="宋体"/>
          <w:sz w:val="24"/>
        </w:rPr>
      </w:pP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供应商名称：</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供应商（公章）：</w:t>
      </w:r>
    </w:p>
    <w:p>
      <w:pPr>
        <w:widowControl/>
        <w:adjustRightInd w:val="0"/>
        <w:snapToGrid w:val="0"/>
        <w:spacing w:line="360" w:lineRule="auto"/>
        <w:jc w:val="left"/>
        <w:rPr>
          <w:rFonts w:ascii="宋体" w:hAnsi="宋体" w:cs="宋体"/>
          <w:sz w:val="24"/>
        </w:rPr>
      </w:pP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法定代表人(负责人)或授权代表（签字或盖章）：</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报价时间：   年  月  日</w:t>
      </w:r>
    </w:p>
    <w:p>
      <w:pPr>
        <w:rPr>
          <w:rFonts w:ascii="宋体" w:hAnsi="宋体" w:cs="宋体"/>
          <w:b/>
          <w:bCs/>
          <w:i/>
          <w:sz w:val="24"/>
        </w:rPr>
      </w:pPr>
    </w:p>
    <w:p>
      <w:pPr>
        <w:spacing w:line="360" w:lineRule="auto"/>
        <w:rPr>
          <w:i/>
          <w:color w:val="FF0000"/>
          <w:sz w:val="24"/>
          <w:szCs w:val="28"/>
          <w:u w:val="single"/>
        </w:rPr>
      </w:pPr>
      <w:r>
        <w:rPr>
          <w:rFonts w:hint="eastAsia" w:ascii="宋体" w:hAnsi="宋体" w:cs="宋体"/>
          <w:b/>
          <w:bCs/>
          <w:i/>
          <w:color w:val="FF0000"/>
          <w:sz w:val="24"/>
          <w:szCs w:val="28"/>
          <w:u w:val="single"/>
        </w:rPr>
        <w:t>注：投标供应商自行携带已经加盖投标单位公章（鲜章）的二次报价表，在评审小组成员集中与单一供应商谈判磋商时由投标人代表填写。本报价表不要装订到投标文件中，该文件作为采购活动中的重要文件列入项档案保存。</w:t>
      </w:r>
    </w:p>
    <w:p>
      <w:pPr>
        <w:spacing w:line="480" w:lineRule="exact"/>
        <w:jc w:val="left"/>
        <w:rPr>
          <w:rFonts w:ascii="宋体" w:hAnsi="宋体"/>
          <w:b/>
          <w:bCs/>
          <w:sz w:val="28"/>
          <w:szCs w:val="21"/>
        </w:rPr>
      </w:pPr>
      <w:r>
        <w:rPr>
          <w:rFonts w:ascii="宋体" w:hAnsi="宋体" w:cs="宋体"/>
          <w:szCs w:val="21"/>
        </w:rPr>
        <w:br w:type="page"/>
      </w:r>
      <w:r>
        <w:rPr>
          <w:rFonts w:ascii="宋体" w:hAnsi="宋体" w:cs="宋体"/>
          <w:b/>
          <w:szCs w:val="21"/>
        </w:rPr>
        <w:t>附件</w:t>
      </w:r>
      <w:r>
        <w:rPr>
          <w:rFonts w:hint="eastAsia" w:ascii="宋体" w:hAnsi="宋体" w:cs="宋体"/>
          <w:b/>
          <w:szCs w:val="21"/>
        </w:rPr>
        <w:t>4</w:t>
      </w:r>
      <w:r>
        <w:rPr>
          <w:rFonts w:hint="eastAsia" w:ascii="宋体" w:hAnsi="宋体"/>
          <w:b/>
          <w:szCs w:val="21"/>
        </w:rPr>
        <w:t>偏离表</w:t>
      </w:r>
    </w:p>
    <w:p>
      <w:pPr>
        <w:spacing w:line="360" w:lineRule="auto"/>
        <w:rPr>
          <w:b/>
          <w:bCs/>
          <w:kern w:val="0"/>
          <w:szCs w:val="21"/>
        </w:rPr>
      </w:pPr>
    </w:p>
    <w:p>
      <w:pPr>
        <w:spacing w:line="360" w:lineRule="auto"/>
        <w:jc w:val="center"/>
        <w:rPr>
          <w:rFonts w:ascii="宋体" w:hAnsi="宋体"/>
          <w:b/>
          <w:szCs w:val="21"/>
        </w:rPr>
      </w:pPr>
      <w:r>
        <w:rPr>
          <w:rFonts w:hint="eastAsia" w:ascii="宋体" w:hAnsi="宋体"/>
          <w:b/>
          <w:szCs w:val="21"/>
        </w:rPr>
        <w:t>服务要求偏离表</w:t>
      </w:r>
    </w:p>
    <w:p>
      <w:pPr>
        <w:autoSpaceDE w:val="0"/>
        <w:autoSpaceDN w:val="0"/>
        <w:adjustRightInd w:val="0"/>
        <w:spacing w:line="380" w:lineRule="exact"/>
        <w:ind w:firstLine="420"/>
        <w:rPr>
          <w:rFonts w:ascii="宋体" w:hAnsi="宋体"/>
          <w:b/>
          <w:spacing w:val="20"/>
          <w:szCs w:val="21"/>
          <w:u w:val="single"/>
        </w:rPr>
      </w:pPr>
      <w:r>
        <w:rPr>
          <w:rFonts w:ascii="宋体" w:hAnsi="宋体"/>
          <w:szCs w:val="21"/>
        </w:rPr>
        <w:t>采购编号：</w:t>
      </w:r>
      <w:r>
        <w:rPr>
          <w:rFonts w:hint="eastAsia" w:ascii="宋体" w:hAnsi="宋体"/>
          <w:color w:val="auto"/>
          <w:szCs w:val="21"/>
          <w:highlight w:val="none"/>
        </w:rPr>
        <w:t>新采磋（2022）XYZYJY 1101</w:t>
      </w:r>
    </w:p>
    <w:tbl>
      <w:tblPr>
        <w:tblStyle w:val="24"/>
        <w:tblW w:w="87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83"/>
        <w:gridCol w:w="2051"/>
        <w:gridCol w:w="2052"/>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958" w:type="dxa"/>
            <w:vAlign w:val="center"/>
          </w:tcPr>
          <w:p>
            <w:pPr>
              <w:jc w:val="center"/>
              <w:rPr>
                <w:rFonts w:ascii="宋体" w:hAnsi="宋体"/>
                <w:szCs w:val="21"/>
              </w:rPr>
            </w:pPr>
            <w:r>
              <w:rPr>
                <w:rFonts w:hint="eastAsia" w:ascii="宋体" w:hAnsi="宋体"/>
                <w:szCs w:val="21"/>
              </w:rPr>
              <w:t>序号</w:t>
            </w:r>
          </w:p>
        </w:tc>
        <w:tc>
          <w:tcPr>
            <w:tcW w:w="1683" w:type="dxa"/>
            <w:vAlign w:val="center"/>
          </w:tcPr>
          <w:p>
            <w:pPr>
              <w:overflowPunct w:val="0"/>
              <w:adjustRightInd w:val="0"/>
              <w:spacing w:line="360" w:lineRule="auto"/>
              <w:ind w:left="54"/>
              <w:jc w:val="center"/>
              <w:textAlignment w:val="baseline"/>
              <w:rPr>
                <w:rFonts w:ascii="宋体" w:hAnsi="宋体"/>
                <w:szCs w:val="21"/>
              </w:rPr>
            </w:pPr>
            <w:r>
              <w:rPr>
                <w:rFonts w:hint="eastAsia" w:ascii="宋体" w:hAnsi="宋体"/>
                <w:szCs w:val="21"/>
              </w:rPr>
              <w:t>项目</w:t>
            </w:r>
          </w:p>
        </w:tc>
        <w:tc>
          <w:tcPr>
            <w:tcW w:w="2051" w:type="dxa"/>
            <w:vAlign w:val="center"/>
          </w:tcPr>
          <w:p>
            <w:pPr>
              <w:overflowPunct w:val="0"/>
              <w:adjustRightInd w:val="0"/>
              <w:spacing w:line="360" w:lineRule="auto"/>
              <w:jc w:val="center"/>
              <w:textAlignment w:val="baseline"/>
              <w:rPr>
                <w:rFonts w:ascii="宋体" w:hAnsi="宋体"/>
                <w:szCs w:val="21"/>
              </w:rPr>
            </w:pPr>
            <w:r>
              <w:rPr>
                <w:rFonts w:hint="eastAsia" w:ascii="宋体" w:hAnsi="宋体"/>
                <w:szCs w:val="21"/>
              </w:rPr>
              <w:t>采购要求</w:t>
            </w:r>
          </w:p>
        </w:tc>
        <w:tc>
          <w:tcPr>
            <w:tcW w:w="2052" w:type="dxa"/>
            <w:vAlign w:val="center"/>
          </w:tcPr>
          <w:p>
            <w:pPr>
              <w:overflowPunct w:val="0"/>
              <w:adjustRightInd w:val="0"/>
              <w:spacing w:line="360" w:lineRule="auto"/>
              <w:jc w:val="center"/>
              <w:textAlignment w:val="baseline"/>
              <w:rPr>
                <w:rFonts w:ascii="宋体" w:hAnsi="宋体"/>
                <w:szCs w:val="21"/>
              </w:rPr>
            </w:pPr>
            <w:r>
              <w:rPr>
                <w:rFonts w:hint="eastAsia" w:ascii="宋体" w:hAnsi="宋体"/>
                <w:szCs w:val="21"/>
              </w:rPr>
              <w:t>响应情况</w:t>
            </w:r>
          </w:p>
        </w:tc>
        <w:tc>
          <w:tcPr>
            <w:tcW w:w="2052" w:type="dxa"/>
            <w:vAlign w:val="center"/>
          </w:tcPr>
          <w:p>
            <w:pPr>
              <w:overflowPunct w:val="0"/>
              <w:adjustRightInd w:val="0"/>
              <w:spacing w:line="360" w:lineRule="auto"/>
              <w:jc w:val="center"/>
              <w:textAlignment w:val="baseline"/>
              <w:rPr>
                <w:rFonts w:ascii="宋体" w:hAnsi="宋体"/>
                <w:szCs w:val="21"/>
              </w:rPr>
            </w:pPr>
            <w:r>
              <w:rPr>
                <w:rFonts w:hint="eastAsia" w:ascii="宋体" w:hAnsi="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8" w:type="dxa"/>
            <w:vAlign w:val="center"/>
          </w:tcPr>
          <w:p>
            <w:pPr>
              <w:jc w:val="center"/>
              <w:rPr>
                <w:rFonts w:ascii="宋体" w:hAnsi="宋体"/>
                <w:szCs w:val="21"/>
              </w:rPr>
            </w:pPr>
            <w:r>
              <w:rPr>
                <w:rFonts w:hint="eastAsia" w:ascii="宋体" w:hAnsi="宋体"/>
                <w:szCs w:val="21"/>
              </w:rPr>
              <w:t>1</w:t>
            </w:r>
          </w:p>
        </w:tc>
        <w:tc>
          <w:tcPr>
            <w:tcW w:w="1683" w:type="dxa"/>
          </w:tcPr>
          <w:p>
            <w:pPr>
              <w:overflowPunct w:val="0"/>
              <w:adjustRightInd w:val="0"/>
              <w:spacing w:line="360" w:lineRule="auto"/>
              <w:ind w:firstLine="699" w:firstLineChars="333"/>
              <w:jc w:val="center"/>
              <w:textAlignment w:val="baseline"/>
              <w:rPr>
                <w:rFonts w:ascii="宋体" w:hAnsi="宋体"/>
                <w:szCs w:val="21"/>
              </w:rPr>
            </w:pPr>
          </w:p>
        </w:tc>
        <w:tc>
          <w:tcPr>
            <w:tcW w:w="2051" w:type="dxa"/>
          </w:tcPr>
          <w:p>
            <w:pPr>
              <w:overflowPunct w:val="0"/>
              <w:adjustRightInd w:val="0"/>
              <w:spacing w:line="360" w:lineRule="auto"/>
              <w:ind w:firstLine="699" w:firstLineChars="333"/>
              <w:jc w:val="center"/>
              <w:textAlignment w:val="baseline"/>
              <w:rPr>
                <w:rFonts w:ascii="宋体" w:hAnsi="宋体"/>
                <w:szCs w:val="21"/>
              </w:rPr>
            </w:pPr>
          </w:p>
        </w:tc>
        <w:tc>
          <w:tcPr>
            <w:tcW w:w="2052" w:type="dxa"/>
          </w:tcPr>
          <w:p>
            <w:pPr>
              <w:overflowPunct w:val="0"/>
              <w:adjustRightInd w:val="0"/>
              <w:spacing w:line="360" w:lineRule="auto"/>
              <w:ind w:firstLine="699" w:firstLineChars="333"/>
              <w:jc w:val="center"/>
              <w:textAlignment w:val="baseline"/>
              <w:rPr>
                <w:rFonts w:ascii="宋体" w:hAnsi="宋体"/>
                <w:szCs w:val="21"/>
              </w:rPr>
            </w:pPr>
          </w:p>
        </w:tc>
        <w:tc>
          <w:tcPr>
            <w:tcW w:w="2052" w:type="dxa"/>
          </w:tcPr>
          <w:p>
            <w:pPr>
              <w:overflowPunct w:val="0"/>
              <w:adjustRightInd w:val="0"/>
              <w:spacing w:line="360" w:lineRule="auto"/>
              <w:ind w:firstLine="699" w:firstLineChars="333"/>
              <w:jc w:val="center"/>
              <w:textAlignment w:val="baseline"/>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8" w:type="dxa"/>
            <w:vAlign w:val="center"/>
          </w:tcPr>
          <w:p>
            <w:pPr>
              <w:jc w:val="center"/>
              <w:rPr>
                <w:rFonts w:ascii="宋体" w:hAnsi="宋体"/>
                <w:szCs w:val="21"/>
              </w:rPr>
            </w:pPr>
            <w:r>
              <w:rPr>
                <w:rFonts w:hint="eastAsia" w:ascii="宋体" w:hAnsi="宋体"/>
                <w:szCs w:val="21"/>
              </w:rPr>
              <w:t>2</w:t>
            </w:r>
          </w:p>
        </w:tc>
        <w:tc>
          <w:tcPr>
            <w:tcW w:w="1683" w:type="dxa"/>
          </w:tcPr>
          <w:p>
            <w:pPr>
              <w:overflowPunct w:val="0"/>
              <w:adjustRightInd w:val="0"/>
              <w:spacing w:line="360" w:lineRule="auto"/>
              <w:ind w:firstLine="699" w:firstLineChars="333"/>
              <w:jc w:val="center"/>
              <w:textAlignment w:val="baseline"/>
              <w:rPr>
                <w:rFonts w:ascii="宋体" w:hAnsi="宋体"/>
                <w:szCs w:val="21"/>
              </w:rPr>
            </w:pPr>
          </w:p>
        </w:tc>
        <w:tc>
          <w:tcPr>
            <w:tcW w:w="2051" w:type="dxa"/>
          </w:tcPr>
          <w:p>
            <w:pPr>
              <w:overflowPunct w:val="0"/>
              <w:adjustRightInd w:val="0"/>
              <w:spacing w:line="360" w:lineRule="auto"/>
              <w:ind w:firstLine="699" w:firstLineChars="333"/>
              <w:jc w:val="center"/>
              <w:textAlignment w:val="baseline"/>
              <w:rPr>
                <w:rFonts w:ascii="宋体" w:hAnsi="宋体"/>
                <w:szCs w:val="21"/>
              </w:rPr>
            </w:pPr>
          </w:p>
        </w:tc>
        <w:tc>
          <w:tcPr>
            <w:tcW w:w="2052" w:type="dxa"/>
          </w:tcPr>
          <w:p>
            <w:pPr>
              <w:overflowPunct w:val="0"/>
              <w:adjustRightInd w:val="0"/>
              <w:spacing w:line="360" w:lineRule="auto"/>
              <w:ind w:firstLine="699" w:firstLineChars="333"/>
              <w:jc w:val="center"/>
              <w:textAlignment w:val="baseline"/>
              <w:rPr>
                <w:rFonts w:ascii="宋体" w:hAnsi="宋体"/>
                <w:szCs w:val="21"/>
              </w:rPr>
            </w:pPr>
          </w:p>
        </w:tc>
        <w:tc>
          <w:tcPr>
            <w:tcW w:w="2052" w:type="dxa"/>
          </w:tcPr>
          <w:p>
            <w:pPr>
              <w:overflowPunct w:val="0"/>
              <w:adjustRightInd w:val="0"/>
              <w:spacing w:line="360" w:lineRule="auto"/>
              <w:ind w:firstLine="699" w:firstLineChars="333"/>
              <w:jc w:val="center"/>
              <w:textAlignment w:val="baseline"/>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8" w:type="dxa"/>
            <w:vAlign w:val="center"/>
          </w:tcPr>
          <w:p>
            <w:pPr>
              <w:jc w:val="center"/>
              <w:rPr>
                <w:rFonts w:ascii="宋体" w:hAnsi="宋体"/>
                <w:szCs w:val="21"/>
              </w:rPr>
            </w:pPr>
            <w:r>
              <w:rPr>
                <w:rFonts w:hint="eastAsia" w:ascii="宋体" w:hAnsi="宋体"/>
                <w:szCs w:val="21"/>
              </w:rPr>
              <w:t>3</w:t>
            </w:r>
          </w:p>
        </w:tc>
        <w:tc>
          <w:tcPr>
            <w:tcW w:w="1683" w:type="dxa"/>
          </w:tcPr>
          <w:p>
            <w:pPr>
              <w:overflowPunct w:val="0"/>
              <w:adjustRightInd w:val="0"/>
              <w:spacing w:line="360" w:lineRule="auto"/>
              <w:ind w:firstLine="699" w:firstLineChars="333"/>
              <w:jc w:val="center"/>
              <w:textAlignment w:val="baseline"/>
              <w:rPr>
                <w:rFonts w:ascii="宋体" w:hAnsi="宋体"/>
                <w:szCs w:val="21"/>
              </w:rPr>
            </w:pPr>
          </w:p>
        </w:tc>
        <w:tc>
          <w:tcPr>
            <w:tcW w:w="2051" w:type="dxa"/>
          </w:tcPr>
          <w:p>
            <w:pPr>
              <w:overflowPunct w:val="0"/>
              <w:adjustRightInd w:val="0"/>
              <w:spacing w:line="360" w:lineRule="auto"/>
              <w:ind w:firstLine="699" w:firstLineChars="333"/>
              <w:jc w:val="center"/>
              <w:textAlignment w:val="baseline"/>
              <w:rPr>
                <w:rFonts w:ascii="宋体" w:hAnsi="宋体"/>
                <w:szCs w:val="21"/>
              </w:rPr>
            </w:pPr>
          </w:p>
        </w:tc>
        <w:tc>
          <w:tcPr>
            <w:tcW w:w="2052" w:type="dxa"/>
          </w:tcPr>
          <w:p>
            <w:pPr>
              <w:overflowPunct w:val="0"/>
              <w:adjustRightInd w:val="0"/>
              <w:spacing w:line="360" w:lineRule="auto"/>
              <w:ind w:firstLine="699" w:firstLineChars="333"/>
              <w:jc w:val="center"/>
              <w:textAlignment w:val="baseline"/>
              <w:rPr>
                <w:rFonts w:ascii="宋体" w:hAnsi="宋体"/>
                <w:szCs w:val="21"/>
              </w:rPr>
            </w:pPr>
          </w:p>
        </w:tc>
        <w:tc>
          <w:tcPr>
            <w:tcW w:w="2052" w:type="dxa"/>
          </w:tcPr>
          <w:p>
            <w:pPr>
              <w:overflowPunct w:val="0"/>
              <w:adjustRightInd w:val="0"/>
              <w:spacing w:line="360" w:lineRule="auto"/>
              <w:ind w:firstLine="699" w:firstLineChars="333"/>
              <w:jc w:val="center"/>
              <w:textAlignment w:val="baseline"/>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8" w:type="dxa"/>
            <w:vAlign w:val="center"/>
          </w:tcPr>
          <w:p>
            <w:pPr>
              <w:jc w:val="center"/>
              <w:rPr>
                <w:rFonts w:ascii="宋体" w:hAnsi="宋体"/>
                <w:szCs w:val="21"/>
              </w:rPr>
            </w:pPr>
            <w:r>
              <w:rPr>
                <w:rFonts w:hint="eastAsia" w:ascii="宋体" w:hAnsi="宋体"/>
                <w:szCs w:val="21"/>
              </w:rPr>
              <w:t>4</w:t>
            </w:r>
          </w:p>
        </w:tc>
        <w:tc>
          <w:tcPr>
            <w:tcW w:w="1683" w:type="dxa"/>
          </w:tcPr>
          <w:p>
            <w:pPr>
              <w:overflowPunct w:val="0"/>
              <w:adjustRightInd w:val="0"/>
              <w:spacing w:line="360" w:lineRule="auto"/>
              <w:ind w:firstLine="699" w:firstLineChars="333"/>
              <w:jc w:val="center"/>
              <w:textAlignment w:val="baseline"/>
              <w:rPr>
                <w:rFonts w:ascii="宋体" w:hAnsi="宋体"/>
                <w:szCs w:val="21"/>
              </w:rPr>
            </w:pPr>
          </w:p>
        </w:tc>
        <w:tc>
          <w:tcPr>
            <w:tcW w:w="2051" w:type="dxa"/>
          </w:tcPr>
          <w:p>
            <w:pPr>
              <w:overflowPunct w:val="0"/>
              <w:adjustRightInd w:val="0"/>
              <w:spacing w:line="360" w:lineRule="auto"/>
              <w:ind w:firstLine="699" w:firstLineChars="333"/>
              <w:jc w:val="center"/>
              <w:textAlignment w:val="baseline"/>
              <w:rPr>
                <w:rFonts w:ascii="宋体" w:hAnsi="宋体"/>
                <w:szCs w:val="21"/>
              </w:rPr>
            </w:pPr>
          </w:p>
        </w:tc>
        <w:tc>
          <w:tcPr>
            <w:tcW w:w="2052" w:type="dxa"/>
          </w:tcPr>
          <w:p>
            <w:pPr>
              <w:overflowPunct w:val="0"/>
              <w:adjustRightInd w:val="0"/>
              <w:spacing w:line="360" w:lineRule="auto"/>
              <w:ind w:firstLine="699" w:firstLineChars="333"/>
              <w:jc w:val="center"/>
              <w:textAlignment w:val="baseline"/>
              <w:rPr>
                <w:rFonts w:ascii="宋体" w:hAnsi="宋体"/>
                <w:szCs w:val="21"/>
              </w:rPr>
            </w:pPr>
          </w:p>
        </w:tc>
        <w:tc>
          <w:tcPr>
            <w:tcW w:w="2052" w:type="dxa"/>
          </w:tcPr>
          <w:p>
            <w:pPr>
              <w:overflowPunct w:val="0"/>
              <w:adjustRightInd w:val="0"/>
              <w:spacing w:line="360" w:lineRule="auto"/>
              <w:ind w:firstLine="699" w:firstLineChars="333"/>
              <w:jc w:val="center"/>
              <w:textAlignment w:val="baseline"/>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8" w:type="dxa"/>
            <w:vAlign w:val="center"/>
          </w:tcPr>
          <w:p>
            <w:pPr>
              <w:jc w:val="center"/>
              <w:rPr>
                <w:rFonts w:ascii="宋体" w:hAnsi="宋体"/>
                <w:szCs w:val="21"/>
              </w:rPr>
            </w:pPr>
            <w:r>
              <w:rPr>
                <w:rFonts w:hint="eastAsia" w:ascii="宋体" w:hAnsi="宋体"/>
                <w:szCs w:val="21"/>
              </w:rPr>
              <w:t>5</w:t>
            </w:r>
          </w:p>
        </w:tc>
        <w:tc>
          <w:tcPr>
            <w:tcW w:w="1683" w:type="dxa"/>
          </w:tcPr>
          <w:p>
            <w:pPr>
              <w:overflowPunct w:val="0"/>
              <w:adjustRightInd w:val="0"/>
              <w:spacing w:line="360" w:lineRule="auto"/>
              <w:ind w:firstLine="699" w:firstLineChars="333"/>
              <w:jc w:val="center"/>
              <w:textAlignment w:val="baseline"/>
              <w:rPr>
                <w:rFonts w:ascii="宋体" w:hAnsi="宋体"/>
                <w:szCs w:val="21"/>
              </w:rPr>
            </w:pPr>
          </w:p>
        </w:tc>
        <w:tc>
          <w:tcPr>
            <w:tcW w:w="2051" w:type="dxa"/>
          </w:tcPr>
          <w:p>
            <w:pPr>
              <w:overflowPunct w:val="0"/>
              <w:adjustRightInd w:val="0"/>
              <w:spacing w:line="360" w:lineRule="auto"/>
              <w:ind w:firstLine="699" w:firstLineChars="333"/>
              <w:jc w:val="center"/>
              <w:textAlignment w:val="baseline"/>
              <w:rPr>
                <w:rFonts w:ascii="宋体" w:hAnsi="宋体"/>
                <w:szCs w:val="21"/>
              </w:rPr>
            </w:pPr>
          </w:p>
        </w:tc>
        <w:tc>
          <w:tcPr>
            <w:tcW w:w="2052" w:type="dxa"/>
          </w:tcPr>
          <w:p>
            <w:pPr>
              <w:overflowPunct w:val="0"/>
              <w:adjustRightInd w:val="0"/>
              <w:spacing w:line="360" w:lineRule="auto"/>
              <w:ind w:firstLine="699" w:firstLineChars="333"/>
              <w:jc w:val="center"/>
              <w:textAlignment w:val="baseline"/>
              <w:rPr>
                <w:rFonts w:ascii="宋体" w:hAnsi="宋体"/>
                <w:szCs w:val="21"/>
              </w:rPr>
            </w:pPr>
          </w:p>
        </w:tc>
        <w:tc>
          <w:tcPr>
            <w:tcW w:w="2052" w:type="dxa"/>
          </w:tcPr>
          <w:p>
            <w:pPr>
              <w:overflowPunct w:val="0"/>
              <w:adjustRightInd w:val="0"/>
              <w:spacing w:line="360" w:lineRule="auto"/>
              <w:ind w:firstLine="699" w:firstLineChars="333"/>
              <w:jc w:val="center"/>
              <w:textAlignment w:val="baseline"/>
              <w:rPr>
                <w:rFonts w:ascii="宋体" w:hAnsi="宋体"/>
                <w:szCs w:val="21"/>
              </w:rPr>
            </w:pPr>
          </w:p>
        </w:tc>
      </w:tr>
    </w:tbl>
    <w:p>
      <w:pPr>
        <w:adjustRightInd w:val="0"/>
        <w:spacing w:line="400" w:lineRule="exact"/>
        <w:ind w:firstLine="630" w:firstLineChars="300"/>
        <w:jc w:val="left"/>
        <w:rPr>
          <w:rFonts w:ascii="宋体" w:hAnsi="宋体"/>
          <w:szCs w:val="21"/>
        </w:rPr>
      </w:pPr>
      <w:r>
        <w:rPr>
          <w:rFonts w:hint="eastAsia" w:ascii="宋体" w:hAnsi="宋体"/>
          <w:szCs w:val="21"/>
        </w:rPr>
        <w:t>供应商：（公章）</w:t>
      </w:r>
    </w:p>
    <w:p>
      <w:pPr>
        <w:adjustRightInd w:val="0"/>
        <w:spacing w:line="400" w:lineRule="exact"/>
        <w:ind w:firstLine="630" w:firstLineChars="300"/>
        <w:jc w:val="left"/>
        <w:rPr>
          <w:rFonts w:ascii="宋体" w:hAnsi="宋体"/>
          <w:szCs w:val="21"/>
        </w:rPr>
      </w:pPr>
      <w:r>
        <w:rPr>
          <w:rFonts w:hint="eastAsia" w:ascii="宋体" w:hAnsi="宋体"/>
          <w:szCs w:val="21"/>
        </w:rPr>
        <w:t>法定代表人或代理人（签字或盖章）</w:t>
      </w:r>
      <w:r>
        <w:rPr>
          <w:rFonts w:hint="eastAsia" w:ascii="宋体" w:hAnsi="宋体"/>
          <w:bCs/>
          <w:szCs w:val="21"/>
        </w:rPr>
        <w:t>：</w:t>
      </w:r>
    </w:p>
    <w:p>
      <w:pPr>
        <w:spacing w:line="400" w:lineRule="exact"/>
        <w:ind w:firstLine="630" w:firstLineChars="300"/>
        <w:rPr>
          <w:rFonts w:ascii="宋体" w:hAnsi="宋体"/>
          <w:bCs/>
          <w:szCs w:val="21"/>
        </w:rPr>
      </w:pPr>
      <w:r>
        <w:rPr>
          <w:rFonts w:hint="eastAsia" w:ascii="宋体" w:hAnsi="宋体"/>
          <w:bCs/>
          <w:szCs w:val="21"/>
        </w:rPr>
        <w:t>日期:</w:t>
      </w:r>
    </w:p>
    <w:p>
      <w:pPr>
        <w:spacing w:line="480" w:lineRule="auto"/>
        <w:jc w:val="center"/>
        <w:rPr>
          <w:rFonts w:ascii="宋体" w:hAnsi="宋体"/>
          <w:b/>
          <w:spacing w:val="20"/>
          <w:szCs w:val="21"/>
        </w:rPr>
      </w:pPr>
    </w:p>
    <w:p>
      <w:pPr>
        <w:spacing w:line="480" w:lineRule="auto"/>
        <w:jc w:val="center"/>
        <w:rPr>
          <w:rFonts w:ascii="宋体" w:hAnsi="宋体"/>
          <w:b/>
          <w:spacing w:val="20"/>
          <w:szCs w:val="21"/>
        </w:rPr>
      </w:pPr>
    </w:p>
    <w:p>
      <w:pPr>
        <w:spacing w:line="480" w:lineRule="auto"/>
        <w:jc w:val="center"/>
        <w:rPr>
          <w:rFonts w:ascii="宋体" w:hAnsi="宋体"/>
          <w:b/>
          <w:szCs w:val="21"/>
        </w:rPr>
      </w:pPr>
      <w:r>
        <w:rPr>
          <w:rFonts w:hint="eastAsia" w:ascii="宋体" w:hAnsi="宋体"/>
          <w:b/>
          <w:szCs w:val="21"/>
        </w:rPr>
        <w:t>商务条款偏离表</w:t>
      </w:r>
    </w:p>
    <w:p>
      <w:pPr>
        <w:autoSpaceDE w:val="0"/>
        <w:autoSpaceDN w:val="0"/>
        <w:adjustRightInd w:val="0"/>
        <w:snapToGrid w:val="0"/>
        <w:spacing w:line="480" w:lineRule="auto"/>
        <w:ind w:firstLine="630" w:firstLineChars="300"/>
        <w:rPr>
          <w:rFonts w:ascii="宋体" w:hAnsi="宋体"/>
          <w:color w:val="auto"/>
          <w:szCs w:val="21"/>
          <w:highlight w:val="none"/>
        </w:rPr>
      </w:pPr>
      <w:r>
        <w:rPr>
          <w:rFonts w:hint="eastAsia" w:ascii="宋体" w:hAnsi="宋体"/>
          <w:szCs w:val="21"/>
          <w:lang w:val="zh-CN"/>
        </w:rPr>
        <w:t>供应商：</w:t>
      </w:r>
      <w:r>
        <w:rPr>
          <w:rFonts w:hint="eastAsia" w:ascii="宋体" w:hAnsi="宋体"/>
          <w:szCs w:val="21"/>
          <w:u w:val="single"/>
          <w:lang w:val="zh-CN"/>
        </w:rPr>
        <w:t xml:space="preserve">             </w:t>
      </w:r>
      <w:r>
        <w:rPr>
          <w:rFonts w:hint="eastAsia" w:ascii="宋体" w:hAnsi="宋体"/>
          <w:szCs w:val="21"/>
          <w:lang w:val="zh-CN"/>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lang w:val="zh-CN"/>
        </w:rPr>
        <w:t>采购编号：</w:t>
      </w:r>
      <w:r>
        <w:rPr>
          <w:rFonts w:hint="eastAsia" w:ascii="宋体" w:hAnsi="宋体"/>
          <w:color w:val="auto"/>
          <w:szCs w:val="21"/>
          <w:highlight w:val="none"/>
          <w:lang w:val="zh-CN"/>
        </w:rPr>
        <w:t>新采磋（2022）XYZYJY 1101</w:t>
      </w:r>
    </w:p>
    <w:tbl>
      <w:tblPr>
        <w:tblStyle w:val="24"/>
        <w:tblW w:w="905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30"/>
        <w:gridCol w:w="2948"/>
        <w:gridCol w:w="1959"/>
        <w:gridCol w:w="1842"/>
        <w:gridCol w:w="15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tblHeader/>
          <w:jc w:val="center"/>
        </w:trPr>
        <w:tc>
          <w:tcPr>
            <w:tcW w:w="730"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bCs/>
                <w:szCs w:val="21"/>
              </w:rPr>
            </w:pPr>
            <w:r>
              <w:rPr>
                <w:rFonts w:hint="eastAsia" w:ascii="宋体" w:hAnsi="宋体"/>
                <w:bCs/>
                <w:szCs w:val="21"/>
              </w:rPr>
              <w:t>序号</w:t>
            </w:r>
          </w:p>
        </w:tc>
        <w:tc>
          <w:tcPr>
            <w:tcW w:w="2948"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bCs/>
                <w:szCs w:val="21"/>
              </w:rPr>
            </w:pPr>
            <w:r>
              <w:rPr>
                <w:rFonts w:hint="eastAsia" w:ascii="宋体" w:hAnsi="宋体"/>
                <w:bCs/>
                <w:szCs w:val="21"/>
              </w:rPr>
              <w:t>采购要求</w:t>
            </w:r>
          </w:p>
        </w:tc>
        <w:tc>
          <w:tcPr>
            <w:tcW w:w="1959"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bCs/>
                <w:szCs w:val="21"/>
              </w:rPr>
            </w:pPr>
            <w:r>
              <w:rPr>
                <w:rFonts w:hint="eastAsia" w:ascii="宋体" w:hAnsi="宋体"/>
                <w:bCs/>
                <w:szCs w:val="21"/>
              </w:rPr>
              <w:t>响应情况</w:t>
            </w:r>
          </w:p>
        </w:tc>
        <w:tc>
          <w:tcPr>
            <w:tcW w:w="1842"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bCs/>
                <w:szCs w:val="21"/>
              </w:rPr>
            </w:pPr>
            <w:r>
              <w:rPr>
                <w:rFonts w:hint="eastAsia" w:ascii="宋体" w:hAnsi="宋体"/>
                <w:bCs/>
                <w:szCs w:val="21"/>
              </w:rPr>
              <w:t>偏离说明</w:t>
            </w:r>
          </w:p>
        </w:tc>
        <w:tc>
          <w:tcPr>
            <w:tcW w:w="1578"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bCs/>
                <w:szCs w:val="21"/>
              </w:rPr>
            </w:pPr>
            <w:r>
              <w:rPr>
                <w:rFonts w:hint="eastAsia" w:ascii="宋体" w:hAnsi="宋体"/>
                <w:bCs/>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730"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bCs/>
                <w:szCs w:val="21"/>
              </w:rPr>
            </w:pPr>
            <w:r>
              <w:rPr>
                <w:rFonts w:hint="eastAsia" w:ascii="宋体" w:hAnsi="宋体"/>
                <w:bCs/>
                <w:szCs w:val="21"/>
              </w:rPr>
              <w:t>1</w:t>
            </w:r>
          </w:p>
        </w:tc>
        <w:tc>
          <w:tcPr>
            <w:tcW w:w="2948"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cs="仿宋_GB2312"/>
                <w:szCs w:val="21"/>
                <w:lang w:val="zh-CN"/>
              </w:rPr>
            </w:pPr>
            <w:r>
              <w:rPr>
                <w:rFonts w:hint="eastAsia" w:ascii="宋体" w:hAnsi="宋体" w:cs="仿宋_GB2312"/>
                <w:szCs w:val="21"/>
                <w:lang w:val="zh-CN"/>
              </w:rPr>
              <w:t>交付时间</w:t>
            </w:r>
          </w:p>
        </w:tc>
        <w:tc>
          <w:tcPr>
            <w:tcW w:w="1959"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szCs w:val="21"/>
              </w:rPr>
            </w:pPr>
          </w:p>
        </w:tc>
        <w:tc>
          <w:tcPr>
            <w:tcW w:w="1842"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szCs w:val="21"/>
              </w:rPr>
            </w:pPr>
          </w:p>
        </w:tc>
        <w:tc>
          <w:tcPr>
            <w:tcW w:w="1578"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730"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bCs/>
                <w:szCs w:val="21"/>
              </w:rPr>
            </w:pPr>
            <w:r>
              <w:rPr>
                <w:rFonts w:hint="eastAsia" w:ascii="宋体" w:hAnsi="宋体"/>
                <w:bCs/>
                <w:szCs w:val="21"/>
              </w:rPr>
              <w:t>2</w:t>
            </w:r>
          </w:p>
        </w:tc>
        <w:tc>
          <w:tcPr>
            <w:tcW w:w="2948"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cs="仿宋_GB2312"/>
                <w:szCs w:val="21"/>
                <w:lang w:val="zh-CN"/>
              </w:rPr>
            </w:pPr>
            <w:r>
              <w:rPr>
                <w:rFonts w:hint="eastAsia" w:ascii="宋体" w:hAnsi="宋体" w:cs="仿宋_GB2312"/>
                <w:szCs w:val="21"/>
                <w:lang w:val="zh-CN"/>
              </w:rPr>
              <w:t>交付地点</w:t>
            </w:r>
          </w:p>
        </w:tc>
        <w:tc>
          <w:tcPr>
            <w:tcW w:w="1959"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szCs w:val="21"/>
              </w:rPr>
            </w:pPr>
          </w:p>
        </w:tc>
        <w:tc>
          <w:tcPr>
            <w:tcW w:w="1842"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szCs w:val="21"/>
              </w:rPr>
            </w:pPr>
          </w:p>
        </w:tc>
        <w:tc>
          <w:tcPr>
            <w:tcW w:w="1578"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730"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bCs/>
                <w:szCs w:val="21"/>
              </w:rPr>
            </w:pPr>
            <w:r>
              <w:rPr>
                <w:rFonts w:hint="eastAsia" w:ascii="宋体" w:hAnsi="宋体"/>
                <w:bCs/>
                <w:szCs w:val="21"/>
              </w:rPr>
              <w:t>3</w:t>
            </w:r>
          </w:p>
        </w:tc>
        <w:tc>
          <w:tcPr>
            <w:tcW w:w="2948"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cs="仿宋_GB2312"/>
                <w:szCs w:val="21"/>
                <w:lang w:val="zh-CN"/>
              </w:rPr>
            </w:pPr>
            <w:r>
              <w:rPr>
                <w:rFonts w:hint="eastAsia" w:ascii="宋体" w:hAnsi="宋体" w:cs="仿宋_GB2312"/>
                <w:szCs w:val="21"/>
                <w:lang w:val="zh-CN"/>
              </w:rPr>
              <w:t>付款方式</w:t>
            </w:r>
          </w:p>
        </w:tc>
        <w:tc>
          <w:tcPr>
            <w:tcW w:w="1959"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szCs w:val="21"/>
              </w:rPr>
            </w:pPr>
          </w:p>
        </w:tc>
        <w:tc>
          <w:tcPr>
            <w:tcW w:w="1842"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szCs w:val="21"/>
              </w:rPr>
            </w:pPr>
          </w:p>
        </w:tc>
        <w:tc>
          <w:tcPr>
            <w:tcW w:w="1578"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730"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bCs/>
                <w:szCs w:val="21"/>
              </w:rPr>
            </w:pPr>
            <w:r>
              <w:rPr>
                <w:rFonts w:hint="eastAsia" w:ascii="宋体" w:hAnsi="宋体"/>
                <w:bCs/>
                <w:szCs w:val="21"/>
              </w:rPr>
              <w:t>4</w:t>
            </w:r>
          </w:p>
        </w:tc>
        <w:tc>
          <w:tcPr>
            <w:tcW w:w="2948"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bCs/>
                <w:szCs w:val="21"/>
              </w:rPr>
            </w:pPr>
            <w:r>
              <w:rPr>
                <w:rFonts w:hint="eastAsia" w:ascii="宋体" w:hAnsi="宋体" w:cs="仿宋_GB2312"/>
                <w:szCs w:val="21"/>
                <w:lang w:val="zh-CN"/>
              </w:rPr>
              <w:t>售后服务承诺</w:t>
            </w:r>
          </w:p>
        </w:tc>
        <w:tc>
          <w:tcPr>
            <w:tcW w:w="1959"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szCs w:val="21"/>
              </w:rPr>
            </w:pPr>
          </w:p>
        </w:tc>
        <w:tc>
          <w:tcPr>
            <w:tcW w:w="1842"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szCs w:val="21"/>
              </w:rPr>
            </w:pPr>
          </w:p>
        </w:tc>
        <w:tc>
          <w:tcPr>
            <w:tcW w:w="1578"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730"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bCs/>
                <w:szCs w:val="21"/>
              </w:rPr>
            </w:pPr>
            <w:r>
              <w:rPr>
                <w:rFonts w:hint="eastAsia" w:ascii="宋体" w:hAnsi="宋体"/>
                <w:bCs/>
                <w:szCs w:val="21"/>
              </w:rPr>
              <w:t>…</w:t>
            </w:r>
          </w:p>
        </w:tc>
        <w:tc>
          <w:tcPr>
            <w:tcW w:w="2948"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bCs/>
                <w:szCs w:val="21"/>
              </w:rPr>
            </w:pPr>
            <w:r>
              <w:rPr>
                <w:rFonts w:hint="eastAsia" w:ascii="宋体" w:hAnsi="宋体" w:cs="仿宋_GB2312"/>
                <w:szCs w:val="21"/>
                <w:lang w:val="zh-CN"/>
              </w:rPr>
              <w:t>其他商务要求</w:t>
            </w:r>
          </w:p>
        </w:tc>
        <w:tc>
          <w:tcPr>
            <w:tcW w:w="1959"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szCs w:val="21"/>
              </w:rPr>
            </w:pPr>
          </w:p>
        </w:tc>
        <w:tc>
          <w:tcPr>
            <w:tcW w:w="1842"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szCs w:val="21"/>
              </w:rPr>
            </w:pPr>
          </w:p>
        </w:tc>
        <w:tc>
          <w:tcPr>
            <w:tcW w:w="1578"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宋体" w:hAnsi="宋体"/>
                <w:szCs w:val="21"/>
              </w:rPr>
            </w:pPr>
          </w:p>
        </w:tc>
      </w:tr>
    </w:tbl>
    <w:p>
      <w:pPr>
        <w:adjustRightInd w:val="0"/>
        <w:snapToGrid w:val="0"/>
        <w:spacing w:line="480" w:lineRule="auto"/>
        <w:ind w:firstLine="630" w:firstLineChars="300"/>
        <w:jc w:val="left"/>
        <w:rPr>
          <w:rFonts w:ascii="宋体" w:hAnsi="宋体"/>
          <w:szCs w:val="21"/>
        </w:rPr>
      </w:pPr>
      <w:r>
        <w:rPr>
          <w:rFonts w:hint="eastAsia" w:ascii="宋体" w:hAnsi="宋体"/>
          <w:szCs w:val="21"/>
        </w:rPr>
        <w:t>供应商：（公章）</w:t>
      </w:r>
    </w:p>
    <w:p>
      <w:pPr>
        <w:adjustRightInd w:val="0"/>
        <w:snapToGrid w:val="0"/>
        <w:spacing w:line="480" w:lineRule="auto"/>
        <w:ind w:firstLine="630" w:firstLineChars="300"/>
        <w:jc w:val="left"/>
        <w:rPr>
          <w:rFonts w:ascii="宋体" w:hAnsi="宋体"/>
          <w:szCs w:val="21"/>
        </w:rPr>
      </w:pPr>
      <w:r>
        <w:rPr>
          <w:rFonts w:hint="eastAsia" w:ascii="宋体" w:hAnsi="宋体"/>
          <w:szCs w:val="21"/>
        </w:rPr>
        <w:t>法定代表人或代理人（签字或盖章）</w:t>
      </w:r>
      <w:r>
        <w:rPr>
          <w:rFonts w:hint="eastAsia" w:ascii="宋体" w:hAnsi="宋体"/>
          <w:bCs/>
          <w:szCs w:val="21"/>
        </w:rPr>
        <w:t>：</w:t>
      </w:r>
    </w:p>
    <w:p>
      <w:pPr>
        <w:spacing w:line="480" w:lineRule="auto"/>
        <w:ind w:firstLine="630" w:firstLineChars="300"/>
        <w:rPr>
          <w:rFonts w:ascii="宋体" w:hAnsi="宋体"/>
          <w:szCs w:val="21"/>
        </w:rPr>
      </w:pPr>
      <w:r>
        <w:rPr>
          <w:rFonts w:hint="eastAsia" w:ascii="宋体" w:hAnsi="宋体"/>
          <w:bCs/>
          <w:szCs w:val="21"/>
        </w:rPr>
        <w:t>投标日期</w:t>
      </w:r>
      <w:r>
        <w:rPr>
          <w:rFonts w:ascii="宋体" w:hAnsi="宋体"/>
          <w:bCs/>
          <w:szCs w:val="21"/>
        </w:rPr>
        <w:t>:</w:t>
      </w:r>
    </w:p>
    <w:p>
      <w:pPr>
        <w:spacing w:line="400" w:lineRule="exact"/>
        <w:rPr>
          <w:rFonts w:ascii="宋体" w:hAnsi="宋体"/>
          <w:bCs/>
          <w:szCs w:val="21"/>
        </w:rPr>
      </w:pPr>
    </w:p>
    <w:p>
      <w:pPr>
        <w:spacing w:line="400" w:lineRule="exact"/>
        <w:rPr>
          <w:rFonts w:ascii="宋体" w:hAnsi="宋体"/>
          <w:b/>
          <w:bCs/>
          <w:szCs w:val="21"/>
        </w:rPr>
      </w:pPr>
      <w:r>
        <w:rPr>
          <w:rFonts w:ascii="宋体" w:hAnsi="宋体"/>
          <w:b/>
          <w:bCs/>
          <w:szCs w:val="21"/>
        </w:rPr>
        <w:br w:type="page"/>
      </w:r>
      <w:r>
        <w:rPr>
          <w:rFonts w:hint="eastAsia" w:ascii="宋体" w:hAnsi="宋体"/>
          <w:b/>
          <w:bCs/>
          <w:szCs w:val="21"/>
        </w:rPr>
        <w:t>附件5</w:t>
      </w:r>
    </w:p>
    <w:p>
      <w:pPr>
        <w:adjustRightInd w:val="0"/>
        <w:spacing w:line="360" w:lineRule="auto"/>
        <w:jc w:val="center"/>
        <w:textAlignment w:val="baseline"/>
        <w:rPr>
          <w:rFonts w:ascii="宋体" w:hAnsi="宋体"/>
          <w:b/>
          <w:szCs w:val="21"/>
        </w:rPr>
      </w:pPr>
      <w:r>
        <w:rPr>
          <w:rFonts w:hint="eastAsia" w:ascii="宋体" w:hAnsi="宋体"/>
          <w:b/>
          <w:szCs w:val="21"/>
        </w:rPr>
        <w:t>主要服务人员表</w:t>
      </w:r>
    </w:p>
    <w:p>
      <w:pPr>
        <w:spacing w:line="360" w:lineRule="auto"/>
        <w:rPr>
          <w:rFonts w:ascii="宋体" w:hAnsi="宋体"/>
          <w:color w:val="auto"/>
          <w:highlight w:val="none"/>
        </w:rPr>
      </w:pPr>
      <w:r>
        <w:rPr>
          <w:rFonts w:hint="eastAsia" w:ascii="宋体" w:hAnsi="宋体"/>
        </w:rPr>
        <w:t>磋商</w:t>
      </w:r>
      <w:r>
        <w:rPr>
          <w:rFonts w:ascii="宋体" w:hAnsi="宋体"/>
          <w:u w:val="none"/>
        </w:rPr>
        <w:t>编号：</w:t>
      </w:r>
      <w:r>
        <w:rPr>
          <w:rFonts w:hint="eastAsia" w:ascii="宋体" w:hAnsi="宋体"/>
          <w:color w:val="auto"/>
          <w:highlight w:val="none"/>
          <w:u w:val="single"/>
        </w:rPr>
        <w:t>新采磋（2022）XYZYJY 1101</w:t>
      </w:r>
    </w:p>
    <w:p>
      <w:pPr>
        <w:spacing w:line="360" w:lineRule="auto"/>
        <w:rPr>
          <w:rFonts w:ascii="宋体" w:hAnsi="宋体"/>
        </w:rPr>
      </w:pPr>
      <w:r>
        <w:rPr>
          <w:rFonts w:ascii="宋体" w:hAnsi="宋体"/>
        </w:rPr>
        <w:t>项目名称：</w:t>
      </w:r>
      <w:r>
        <w:rPr>
          <w:rFonts w:hint="eastAsia" w:ascii="宋体" w:hAnsi="宋体"/>
          <w:u w:val="single"/>
        </w:rPr>
        <w:t>新沂市</w:t>
      </w:r>
      <w:r>
        <w:rPr>
          <w:rFonts w:hint="eastAsia" w:ascii="宋体" w:hAnsi="宋体"/>
          <w:u w:val="single"/>
          <w:lang w:eastAsia="zh-CN"/>
        </w:rPr>
        <w:t>公共资源交易中心</w:t>
      </w:r>
      <w:r>
        <w:rPr>
          <w:rFonts w:hint="eastAsia" w:ascii="宋体" w:hAnsi="宋体"/>
          <w:u w:val="single"/>
        </w:rPr>
        <w:t>档案整理及数字化服务项目</w:t>
      </w:r>
    </w:p>
    <w:tbl>
      <w:tblPr>
        <w:tblStyle w:val="24"/>
        <w:tblW w:w="923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788"/>
        <w:gridCol w:w="1205"/>
        <w:gridCol w:w="1200"/>
        <w:gridCol w:w="1200"/>
        <w:gridCol w:w="1200"/>
        <w:gridCol w:w="1329"/>
        <w:gridCol w:w="1281"/>
        <w:gridCol w:w="102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trPr>
        <w:tc>
          <w:tcPr>
            <w:tcW w:w="788" w:type="dxa"/>
            <w:tcBorders>
              <w:top w:val="single" w:color="auto" w:sz="4" w:space="0"/>
              <w:left w:val="single" w:color="auto" w:sz="4" w:space="0"/>
              <w:bottom w:val="single" w:color="000000" w:sz="6" w:space="0"/>
              <w:right w:val="single" w:color="000000" w:sz="6" w:space="0"/>
            </w:tcBorders>
            <w:vAlign w:val="center"/>
          </w:tcPr>
          <w:p>
            <w:pPr>
              <w:spacing w:line="360" w:lineRule="auto"/>
              <w:jc w:val="center"/>
              <w:rPr>
                <w:rFonts w:hAnsi="宋体"/>
                <w:szCs w:val="21"/>
              </w:rPr>
            </w:pPr>
            <w:r>
              <w:rPr>
                <w:rFonts w:hAnsi="宋体"/>
                <w:szCs w:val="21"/>
              </w:rPr>
              <w:t>序号</w:t>
            </w:r>
          </w:p>
        </w:tc>
        <w:tc>
          <w:tcPr>
            <w:tcW w:w="1205" w:type="dxa"/>
            <w:tcBorders>
              <w:top w:val="single" w:color="auto" w:sz="4" w:space="0"/>
              <w:left w:val="single" w:color="000000" w:sz="6" w:space="0"/>
              <w:bottom w:val="single" w:color="000000" w:sz="6" w:space="0"/>
              <w:right w:val="single" w:color="auto" w:sz="4" w:space="0"/>
            </w:tcBorders>
            <w:vAlign w:val="center"/>
          </w:tcPr>
          <w:p>
            <w:pPr>
              <w:spacing w:line="360" w:lineRule="auto"/>
              <w:jc w:val="center"/>
              <w:rPr>
                <w:rFonts w:hAnsi="宋体"/>
                <w:szCs w:val="21"/>
              </w:rPr>
            </w:pPr>
            <w:r>
              <w:rPr>
                <w:rFonts w:hint="eastAsia" w:hAnsi="宋体"/>
                <w:szCs w:val="21"/>
              </w:rPr>
              <w:t>姓名</w:t>
            </w:r>
          </w:p>
        </w:tc>
        <w:tc>
          <w:tcPr>
            <w:tcW w:w="1200" w:type="dxa"/>
            <w:tcBorders>
              <w:top w:val="single" w:color="auto" w:sz="4" w:space="0"/>
              <w:left w:val="single" w:color="auto" w:sz="4" w:space="0"/>
              <w:bottom w:val="single" w:color="000000" w:sz="6" w:space="0"/>
              <w:right w:val="single" w:color="000000" w:sz="6" w:space="0"/>
            </w:tcBorders>
            <w:vAlign w:val="center"/>
          </w:tcPr>
          <w:p>
            <w:pPr>
              <w:spacing w:line="360" w:lineRule="auto"/>
              <w:jc w:val="center"/>
              <w:rPr>
                <w:rFonts w:hAnsi="宋体"/>
                <w:szCs w:val="21"/>
              </w:rPr>
            </w:pPr>
            <w:r>
              <w:rPr>
                <w:rFonts w:hint="eastAsia" w:hAnsi="宋体"/>
                <w:szCs w:val="21"/>
              </w:rPr>
              <w:t>性别</w:t>
            </w:r>
          </w:p>
        </w:tc>
        <w:tc>
          <w:tcPr>
            <w:tcW w:w="1200" w:type="dxa"/>
            <w:tcBorders>
              <w:top w:val="single" w:color="auto" w:sz="4" w:space="0"/>
              <w:left w:val="single" w:color="000000" w:sz="6" w:space="0"/>
              <w:bottom w:val="single" w:color="000000" w:sz="6" w:space="0"/>
              <w:right w:val="single" w:color="000000" w:sz="6" w:space="0"/>
            </w:tcBorders>
            <w:vAlign w:val="center"/>
          </w:tcPr>
          <w:p>
            <w:pPr>
              <w:spacing w:line="360" w:lineRule="auto"/>
              <w:jc w:val="center"/>
              <w:rPr>
                <w:rFonts w:hAnsi="宋体"/>
                <w:szCs w:val="21"/>
              </w:rPr>
            </w:pPr>
            <w:r>
              <w:rPr>
                <w:rFonts w:hint="eastAsia" w:hAnsi="宋体"/>
                <w:szCs w:val="21"/>
              </w:rPr>
              <w:t>年龄</w:t>
            </w:r>
          </w:p>
        </w:tc>
        <w:tc>
          <w:tcPr>
            <w:tcW w:w="1200" w:type="dxa"/>
            <w:tcBorders>
              <w:top w:val="single" w:color="auto" w:sz="4" w:space="0"/>
              <w:left w:val="single" w:color="000000" w:sz="6" w:space="0"/>
              <w:bottom w:val="single" w:color="000000" w:sz="6" w:space="0"/>
              <w:right w:val="single" w:color="auto" w:sz="4" w:space="0"/>
            </w:tcBorders>
            <w:vAlign w:val="center"/>
          </w:tcPr>
          <w:p>
            <w:pPr>
              <w:spacing w:line="360" w:lineRule="auto"/>
              <w:jc w:val="center"/>
              <w:rPr>
                <w:rFonts w:hAnsi="宋体"/>
                <w:szCs w:val="21"/>
              </w:rPr>
            </w:pPr>
            <w:r>
              <w:rPr>
                <w:rFonts w:hint="eastAsia" w:hAnsi="宋体"/>
                <w:szCs w:val="21"/>
              </w:rPr>
              <w:t>学历</w:t>
            </w:r>
          </w:p>
        </w:tc>
        <w:tc>
          <w:tcPr>
            <w:tcW w:w="1329" w:type="dxa"/>
            <w:tcBorders>
              <w:top w:val="single" w:color="auto" w:sz="4" w:space="0"/>
              <w:left w:val="single" w:color="auto" w:sz="4" w:space="0"/>
              <w:bottom w:val="single" w:color="000000" w:sz="6" w:space="0"/>
              <w:right w:val="single" w:color="auto" w:sz="4" w:space="0"/>
            </w:tcBorders>
            <w:vAlign w:val="center"/>
          </w:tcPr>
          <w:p>
            <w:pPr>
              <w:spacing w:line="360" w:lineRule="auto"/>
              <w:jc w:val="center"/>
              <w:rPr>
                <w:rFonts w:hAnsi="宋体"/>
                <w:szCs w:val="21"/>
              </w:rPr>
            </w:pPr>
            <w:r>
              <w:rPr>
                <w:rFonts w:hint="eastAsia" w:hAnsi="宋体"/>
                <w:szCs w:val="21"/>
              </w:rPr>
              <w:t>职称</w:t>
            </w:r>
          </w:p>
        </w:tc>
        <w:tc>
          <w:tcPr>
            <w:tcW w:w="1281" w:type="dxa"/>
            <w:tcBorders>
              <w:top w:val="single" w:color="auto" w:sz="4" w:space="0"/>
              <w:left w:val="single" w:color="auto" w:sz="4" w:space="0"/>
              <w:bottom w:val="single" w:color="000000" w:sz="6" w:space="0"/>
              <w:right w:val="single" w:color="auto" w:sz="4" w:space="0"/>
            </w:tcBorders>
            <w:vAlign w:val="center"/>
          </w:tcPr>
          <w:p>
            <w:pPr>
              <w:spacing w:line="360" w:lineRule="auto"/>
              <w:jc w:val="center"/>
              <w:rPr>
                <w:rFonts w:hAnsi="宋体"/>
                <w:szCs w:val="21"/>
              </w:rPr>
            </w:pPr>
            <w:r>
              <w:rPr>
                <w:rFonts w:hint="eastAsia" w:hAnsi="宋体"/>
                <w:szCs w:val="21"/>
              </w:rPr>
              <w:t>本项目职位</w:t>
            </w:r>
          </w:p>
        </w:tc>
        <w:tc>
          <w:tcPr>
            <w:tcW w:w="1027" w:type="dxa"/>
            <w:tcBorders>
              <w:top w:val="single" w:color="auto" w:sz="4" w:space="0"/>
              <w:left w:val="single" w:color="auto" w:sz="4" w:space="0"/>
              <w:bottom w:val="single" w:color="000000" w:sz="6" w:space="0"/>
              <w:right w:val="single" w:color="auto" w:sz="4" w:space="0"/>
            </w:tcBorders>
            <w:vAlign w:val="center"/>
          </w:tcPr>
          <w:p>
            <w:pPr>
              <w:spacing w:line="360" w:lineRule="auto"/>
              <w:jc w:val="center"/>
              <w:rPr>
                <w:rFonts w:hAnsi="宋体"/>
                <w:szCs w:val="21"/>
              </w:rPr>
            </w:pPr>
            <w:r>
              <w:rPr>
                <w:rFonts w:hint="eastAsia" w:hAnsi="宋体"/>
                <w:szCs w:val="21"/>
              </w:rPr>
              <w:t>其他证书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c>
          <w:tcPr>
            <w:tcW w:w="788" w:type="dxa"/>
            <w:tcBorders>
              <w:top w:val="single" w:color="000000" w:sz="6" w:space="0"/>
              <w:left w:val="single" w:color="auto" w:sz="4" w:space="0"/>
              <w:bottom w:val="single" w:color="000000" w:sz="6" w:space="0"/>
              <w:right w:val="single" w:color="000000" w:sz="6" w:space="0"/>
            </w:tcBorders>
          </w:tcPr>
          <w:p>
            <w:pPr>
              <w:spacing w:line="360" w:lineRule="auto"/>
              <w:jc w:val="center"/>
              <w:rPr>
                <w:szCs w:val="21"/>
              </w:rPr>
            </w:pPr>
          </w:p>
        </w:tc>
        <w:tc>
          <w:tcPr>
            <w:tcW w:w="1205" w:type="dxa"/>
            <w:tcBorders>
              <w:top w:val="single" w:color="000000" w:sz="6" w:space="0"/>
              <w:left w:val="single" w:color="000000" w:sz="6" w:space="0"/>
              <w:bottom w:val="single" w:color="000000" w:sz="6" w:space="0"/>
              <w:right w:val="single" w:color="auto" w:sz="4" w:space="0"/>
            </w:tcBorders>
          </w:tcPr>
          <w:p>
            <w:pPr>
              <w:spacing w:line="360" w:lineRule="auto"/>
              <w:jc w:val="center"/>
              <w:rPr>
                <w:szCs w:val="21"/>
              </w:rPr>
            </w:pPr>
          </w:p>
        </w:tc>
        <w:tc>
          <w:tcPr>
            <w:tcW w:w="1200" w:type="dxa"/>
            <w:tcBorders>
              <w:top w:val="single" w:color="000000" w:sz="6" w:space="0"/>
              <w:left w:val="single" w:color="auto" w:sz="4" w:space="0"/>
              <w:bottom w:val="single" w:color="000000" w:sz="6" w:space="0"/>
              <w:right w:val="single" w:color="000000" w:sz="6" w:space="0"/>
            </w:tcBorders>
          </w:tcPr>
          <w:p>
            <w:pPr>
              <w:spacing w:line="360" w:lineRule="auto"/>
              <w:jc w:val="center"/>
              <w:rPr>
                <w:szCs w:val="21"/>
              </w:rPr>
            </w:pPr>
          </w:p>
        </w:tc>
        <w:tc>
          <w:tcPr>
            <w:tcW w:w="1200" w:type="dxa"/>
            <w:tcBorders>
              <w:top w:val="single" w:color="000000" w:sz="6" w:space="0"/>
              <w:left w:val="single" w:color="000000" w:sz="6" w:space="0"/>
              <w:bottom w:val="single" w:color="000000" w:sz="6" w:space="0"/>
              <w:right w:val="single" w:color="000000" w:sz="6" w:space="0"/>
            </w:tcBorders>
          </w:tcPr>
          <w:p>
            <w:pPr>
              <w:spacing w:line="360" w:lineRule="auto"/>
              <w:jc w:val="center"/>
              <w:rPr>
                <w:szCs w:val="21"/>
              </w:rPr>
            </w:pPr>
          </w:p>
        </w:tc>
        <w:tc>
          <w:tcPr>
            <w:tcW w:w="1200" w:type="dxa"/>
            <w:tcBorders>
              <w:top w:val="single" w:color="000000" w:sz="6" w:space="0"/>
              <w:left w:val="single" w:color="000000" w:sz="6" w:space="0"/>
              <w:bottom w:val="single" w:color="000000" w:sz="6" w:space="0"/>
              <w:right w:val="single" w:color="auto" w:sz="4" w:space="0"/>
            </w:tcBorders>
          </w:tcPr>
          <w:p>
            <w:pPr>
              <w:spacing w:line="360" w:lineRule="auto"/>
              <w:jc w:val="center"/>
              <w:rPr>
                <w:szCs w:val="21"/>
              </w:rPr>
            </w:pPr>
          </w:p>
        </w:tc>
        <w:tc>
          <w:tcPr>
            <w:tcW w:w="1329"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c>
          <w:tcPr>
            <w:tcW w:w="1281"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c>
          <w:tcPr>
            <w:tcW w:w="1027"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c>
          <w:tcPr>
            <w:tcW w:w="788" w:type="dxa"/>
            <w:tcBorders>
              <w:top w:val="single" w:color="000000" w:sz="6" w:space="0"/>
              <w:left w:val="single" w:color="auto" w:sz="4" w:space="0"/>
              <w:bottom w:val="single" w:color="000000" w:sz="6" w:space="0"/>
              <w:right w:val="single" w:color="000000" w:sz="6" w:space="0"/>
            </w:tcBorders>
          </w:tcPr>
          <w:p>
            <w:pPr>
              <w:spacing w:line="360" w:lineRule="auto"/>
              <w:jc w:val="center"/>
              <w:rPr>
                <w:szCs w:val="21"/>
              </w:rPr>
            </w:pPr>
          </w:p>
        </w:tc>
        <w:tc>
          <w:tcPr>
            <w:tcW w:w="1205" w:type="dxa"/>
            <w:tcBorders>
              <w:top w:val="single" w:color="000000" w:sz="6" w:space="0"/>
              <w:left w:val="single" w:color="000000" w:sz="6" w:space="0"/>
              <w:bottom w:val="single" w:color="000000" w:sz="6" w:space="0"/>
              <w:right w:val="single" w:color="auto" w:sz="4" w:space="0"/>
            </w:tcBorders>
          </w:tcPr>
          <w:p>
            <w:pPr>
              <w:spacing w:line="360" w:lineRule="auto"/>
              <w:jc w:val="center"/>
              <w:rPr>
                <w:szCs w:val="21"/>
              </w:rPr>
            </w:pPr>
          </w:p>
        </w:tc>
        <w:tc>
          <w:tcPr>
            <w:tcW w:w="1200" w:type="dxa"/>
            <w:tcBorders>
              <w:top w:val="single" w:color="000000" w:sz="6" w:space="0"/>
              <w:left w:val="single" w:color="auto" w:sz="4" w:space="0"/>
              <w:bottom w:val="single" w:color="000000" w:sz="6" w:space="0"/>
              <w:right w:val="single" w:color="000000" w:sz="6" w:space="0"/>
            </w:tcBorders>
          </w:tcPr>
          <w:p>
            <w:pPr>
              <w:spacing w:line="360" w:lineRule="auto"/>
              <w:jc w:val="center"/>
              <w:rPr>
                <w:szCs w:val="21"/>
              </w:rPr>
            </w:pPr>
          </w:p>
        </w:tc>
        <w:tc>
          <w:tcPr>
            <w:tcW w:w="1200" w:type="dxa"/>
            <w:tcBorders>
              <w:top w:val="single" w:color="000000" w:sz="6" w:space="0"/>
              <w:left w:val="single" w:color="000000" w:sz="6" w:space="0"/>
              <w:bottom w:val="single" w:color="000000" w:sz="6" w:space="0"/>
              <w:right w:val="single" w:color="000000" w:sz="6" w:space="0"/>
            </w:tcBorders>
          </w:tcPr>
          <w:p>
            <w:pPr>
              <w:spacing w:line="360" w:lineRule="auto"/>
              <w:jc w:val="center"/>
              <w:rPr>
                <w:szCs w:val="21"/>
              </w:rPr>
            </w:pPr>
          </w:p>
        </w:tc>
        <w:tc>
          <w:tcPr>
            <w:tcW w:w="1200" w:type="dxa"/>
            <w:tcBorders>
              <w:top w:val="single" w:color="000000" w:sz="6" w:space="0"/>
              <w:left w:val="single" w:color="000000" w:sz="6" w:space="0"/>
              <w:bottom w:val="single" w:color="000000" w:sz="6" w:space="0"/>
              <w:right w:val="single" w:color="auto" w:sz="4" w:space="0"/>
            </w:tcBorders>
          </w:tcPr>
          <w:p>
            <w:pPr>
              <w:spacing w:line="360" w:lineRule="auto"/>
              <w:jc w:val="center"/>
              <w:rPr>
                <w:szCs w:val="21"/>
              </w:rPr>
            </w:pPr>
          </w:p>
        </w:tc>
        <w:tc>
          <w:tcPr>
            <w:tcW w:w="1329"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c>
          <w:tcPr>
            <w:tcW w:w="1281"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c>
          <w:tcPr>
            <w:tcW w:w="1027"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c>
          <w:tcPr>
            <w:tcW w:w="788" w:type="dxa"/>
            <w:tcBorders>
              <w:top w:val="single" w:color="000000" w:sz="6" w:space="0"/>
              <w:left w:val="single" w:color="auto" w:sz="4" w:space="0"/>
              <w:bottom w:val="single" w:color="000000" w:sz="6" w:space="0"/>
              <w:right w:val="single" w:color="000000" w:sz="6" w:space="0"/>
            </w:tcBorders>
          </w:tcPr>
          <w:p>
            <w:pPr>
              <w:spacing w:line="360" w:lineRule="auto"/>
              <w:jc w:val="center"/>
              <w:rPr>
                <w:szCs w:val="21"/>
              </w:rPr>
            </w:pPr>
          </w:p>
        </w:tc>
        <w:tc>
          <w:tcPr>
            <w:tcW w:w="1205" w:type="dxa"/>
            <w:tcBorders>
              <w:top w:val="single" w:color="000000" w:sz="6" w:space="0"/>
              <w:left w:val="single" w:color="000000" w:sz="6" w:space="0"/>
              <w:bottom w:val="single" w:color="000000" w:sz="6" w:space="0"/>
              <w:right w:val="single" w:color="auto" w:sz="4" w:space="0"/>
            </w:tcBorders>
          </w:tcPr>
          <w:p>
            <w:pPr>
              <w:spacing w:line="360" w:lineRule="auto"/>
              <w:jc w:val="center"/>
              <w:rPr>
                <w:szCs w:val="21"/>
              </w:rPr>
            </w:pPr>
          </w:p>
        </w:tc>
        <w:tc>
          <w:tcPr>
            <w:tcW w:w="1200" w:type="dxa"/>
            <w:tcBorders>
              <w:top w:val="single" w:color="000000" w:sz="6" w:space="0"/>
              <w:left w:val="single" w:color="auto" w:sz="4" w:space="0"/>
              <w:bottom w:val="single" w:color="000000" w:sz="6" w:space="0"/>
              <w:right w:val="single" w:color="000000" w:sz="6" w:space="0"/>
            </w:tcBorders>
          </w:tcPr>
          <w:p>
            <w:pPr>
              <w:spacing w:line="360" w:lineRule="auto"/>
              <w:jc w:val="center"/>
              <w:rPr>
                <w:szCs w:val="21"/>
              </w:rPr>
            </w:pPr>
          </w:p>
        </w:tc>
        <w:tc>
          <w:tcPr>
            <w:tcW w:w="1200" w:type="dxa"/>
            <w:tcBorders>
              <w:top w:val="single" w:color="000000" w:sz="6" w:space="0"/>
              <w:left w:val="single" w:color="000000" w:sz="6" w:space="0"/>
              <w:bottom w:val="single" w:color="000000" w:sz="6" w:space="0"/>
              <w:right w:val="single" w:color="000000" w:sz="6" w:space="0"/>
            </w:tcBorders>
          </w:tcPr>
          <w:p>
            <w:pPr>
              <w:spacing w:line="360" w:lineRule="auto"/>
              <w:jc w:val="center"/>
              <w:rPr>
                <w:szCs w:val="21"/>
              </w:rPr>
            </w:pPr>
          </w:p>
        </w:tc>
        <w:tc>
          <w:tcPr>
            <w:tcW w:w="1200" w:type="dxa"/>
            <w:tcBorders>
              <w:top w:val="single" w:color="000000" w:sz="6" w:space="0"/>
              <w:left w:val="single" w:color="000000" w:sz="6" w:space="0"/>
              <w:bottom w:val="single" w:color="000000" w:sz="6" w:space="0"/>
              <w:right w:val="single" w:color="auto" w:sz="4" w:space="0"/>
            </w:tcBorders>
          </w:tcPr>
          <w:p>
            <w:pPr>
              <w:spacing w:line="360" w:lineRule="auto"/>
              <w:jc w:val="center"/>
              <w:rPr>
                <w:szCs w:val="21"/>
              </w:rPr>
            </w:pPr>
          </w:p>
        </w:tc>
        <w:tc>
          <w:tcPr>
            <w:tcW w:w="1329"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c>
          <w:tcPr>
            <w:tcW w:w="1281"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c>
          <w:tcPr>
            <w:tcW w:w="1027"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c>
          <w:tcPr>
            <w:tcW w:w="788" w:type="dxa"/>
            <w:tcBorders>
              <w:top w:val="single" w:color="000000" w:sz="6" w:space="0"/>
              <w:left w:val="single" w:color="auto" w:sz="4" w:space="0"/>
              <w:bottom w:val="single" w:color="000000" w:sz="6" w:space="0"/>
              <w:right w:val="single" w:color="000000" w:sz="6" w:space="0"/>
            </w:tcBorders>
          </w:tcPr>
          <w:p>
            <w:pPr>
              <w:spacing w:line="360" w:lineRule="auto"/>
              <w:jc w:val="center"/>
              <w:rPr>
                <w:szCs w:val="21"/>
              </w:rPr>
            </w:pPr>
          </w:p>
        </w:tc>
        <w:tc>
          <w:tcPr>
            <w:tcW w:w="1205" w:type="dxa"/>
            <w:tcBorders>
              <w:top w:val="single" w:color="000000" w:sz="6" w:space="0"/>
              <w:left w:val="single" w:color="000000" w:sz="6" w:space="0"/>
              <w:bottom w:val="single" w:color="000000" w:sz="6" w:space="0"/>
              <w:right w:val="single" w:color="auto" w:sz="4" w:space="0"/>
            </w:tcBorders>
          </w:tcPr>
          <w:p>
            <w:pPr>
              <w:spacing w:line="360" w:lineRule="auto"/>
              <w:jc w:val="center"/>
              <w:rPr>
                <w:szCs w:val="21"/>
              </w:rPr>
            </w:pPr>
          </w:p>
        </w:tc>
        <w:tc>
          <w:tcPr>
            <w:tcW w:w="1200" w:type="dxa"/>
            <w:tcBorders>
              <w:top w:val="single" w:color="000000" w:sz="6" w:space="0"/>
              <w:left w:val="single" w:color="auto" w:sz="4" w:space="0"/>
              <w:bottom w:val="single" w:color="000000" w:sz="6" w:space="0"/>
              <w:right w:val="single" w:color="000000" w:sz="6" w:space="0"/>
            </w:tcBorders>
          </w:tcPr>
          <w:p>
            <w:pPr>
              <w:spacing w:line="360" w:lineRule="auto"/>
              <w:jc w:val="center"/>
              <w:rPr>
                <w:szCs w:val="21"/>
              </w:rPr>
            </w:pPr>
          </w:p>
        </w:tc>
        <w:tc>
          <w:tcPr>
            <w:tcW w:w="1200" w:type="dxa"/>
            <w:tcBorders>
              <w:top w:val="single" w:color="000000" w:sz="6" w:space="0"/>
              <w:left w:val="single" w:color="000000" w:sz="6" w:space="0"/>
              <w:bottom w:val="single" w:color="000000" w:sz="6" w:space="0"/>
              <w:right w:val="single" w:color="000000" w:sz="6" w:space="0"/>
            </w:tcBorders>
          </w:tcPr>
          <w:p>
            <w:pPr>
              <w:spacing w:line="360" w:lineRule="auto"/>
              <w:jc w:val="center"/>
              <w:rPr>
                <w:szCs w:val="21"/>
              </w:rPr>
            </w:pPr>
          </w:p>
        </w:tc>
        <w:tc>
          <w:tcPr>
            <w:tcW w:w="1200" w:type="dxa"/>
            <w:tcBorders>
              <w:top w:val="single" w:color="000000" w:sz="6" w:space="0"/>
              <w:left w:val="single" w:color="000000" w:sz="6" w:space="0"/>
              <w:bottom w:val="single" w:color="000000" w:sz="6" w:space="0"/>
              <w:right w:val="single" w:color="auto" w:sz="4" w:space="0"/>
            </w:tcBorders>
          </w:tcPr>
          <w:p>
            <w:pPr>
              <w:spacing w:line="360" w:lineRule="auto"/>
              <w:jc w:val="center"/>
              <w:rPr>
                <w:szCs w:val="21"/>
              </w:rPr>
            </w:pPr>
          </w:p>
        </w:tc>
        <w:tc>
          <w:tcPr>
            <w:tcW w:w="1329"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c>
          <w:tcPr>
            <w:tcW w:w="1281"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c>
          <w:tcPr>
            <w:tcW w:w="1027"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c>
          <w:tcPr>
            <w:tcW w:w="788" w:type="dxa"/>
            <w:tcBorders>
              <w:top w:val="single" w:color="000000" w:sz="6" w:space="0"/>
              <w:left w:val="single" w:color="auto" w:sz="4" w:space="0"/>
              <w:bottom w:val="single" w:color="000000" w:sz="6" w:space="0"/>
              <w:right w:val="single" w:color="000000" w:sz="6" w:space="0"/>
            </w:tcBorders>
          </w:tcPr>
          <w:p>
            <w:pPr>
              <w:spacing w:line="360" w:lineRule="auto"/>
              <w:jc w:val="center"/>
              <w:rPr>
                <w:szCs w:val="21"/>
              </w:rPr>
            </w:pPr>
          </w:p>
        </w:tc>
        <w:tc>
          <w:tcPr>
            <w:tcW w:w="1205" w:type="dxa"/>
            <w:tcBorders>
              <w:top w:val="single" w:color="000000" w:sz="6" w:space="0"/>
              <w:left w:val="single" w:color="000000" w:sz="6" w:space="0"/>
              <w:bottom w:val="single" w:color="000000" w:sz="6" w:space="0"/>
              <w:right w:val="single" w:color="auto" w:sz="4" w:space="0"/>
            </w:tcBorders>
          </w:tcPr>
          <w:p>
            <w:pPr>
              <w:spacing w:line="360" w:lineRule="auto"/>
              <w:jc w:val="center"/>
              <w:rPr>
                <w:szCs w:val="21"/>
              </w:rPr>
            </w:pPr>
          </w:p>
        </w:tc>
        <w:tc>
          <w:tcPr>
            <w:tcW w:w="1200" w:type="dxa"/>
            <w:tcBorders>
              <w:top w:val="single" w:color="000000" w:sz="6" w:space="0"/>
              <w:left w:val="single" w:color="auto" w:sz="4" w:space="0"/>
              <w:bottom w:val="single" w:color="000000" w:sz="6" w:space="0"/>
              <w:right w:val="single" w:color="000000" w:sz="6" w:space="0"/>
            </w:tcBorders>
          </w:tcPr>
          <w:p>
            <w:pPr>
              <w:spacing w:line="360" w:lineRule="auto"/>
              <w:jc w:val="center"/>
              <w:rPr>
                <w:szCs w:val="21"/>
              </w:rPr>
            </w:pPr>
          </w:p>
        </w:tc>
        <w:tc>
          <w:tcPr>
            <w:tcW w:w="1200" w:type="dxa"/>
            <w:tcBorders>
              <w:top w:val="single" w:color="000000" w:sz="6" w:space="0"/>
              <w:left w:val="single" w:color="000000" w:sz="6" w:space="0"/>
              <w:bottom w:val="single" w:color="000000" w:sz="6" w:space="0"/>
              <w:right w:val="single" w:color="000000" w:sz="6" w:space="0"/>
            </w:tcBorders>
          </w:tcPr>
          <w:p>
            <w:pPr>
              <w:spacing w:line="360" w:lineRule="auto"/>
              <w:jc w:val="center"/>
              <w:rPr>
                <w:szCs w:val="21"/>
              </w:rPr>
            </w:pPr>
          </w:p>
        </w:tc>
        <w:tc>
          <w:tcPr>
            <w:tcW w:w="1200" w:type="dxa"/>
            <w:tcBorders>
              <w:top w:val="single" w:color="000000" w:sz="6" w:space="0"/>
              <w:left w:val="single" w:color="000000" w:sz="6" w:space="0"/>
              <w:bottom w:val="single" w:color="000000" w:sz="6" w:space="0"/>
              <w:right w:val="single" w:color="auto" w:sz="4" w:space="0"/>
            </w:tcBorders>
          </w:tcPr>
          <w:p>
            <w:pPr>
              <w:spacing w:line="360" w:lineRule="auto"/>
              <w:jc w:val="center"/>
              <w:rPr>
                <w:szCs w:val="21"/>
              </w:rPr>
            </w:pPr>
          </w:p>
        </w:tc>
        <w:tc>
          <w:tcPr>
            <w:tcW w:w="1329"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c>
          <w:tcPr>
            <w:tcW w:w="1281"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c>
          <w:tcPr>
            <w:tcW w:w="1027"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c>
          <w:tcPr>
            <w:tcW w:w="788" w:type="dxa"/>
            <w:tcBorders>
              <w:top w:val="single" w:color="000000" w:sz="6" w:space="0"/>
              <w:left w:val="single" w:color="auto" w:sz="4" w:space="0"/>
              <w:bottom w:val="single" w:color="000000" w:sz="6" w:space="0"/>
              <w:right w:val="single" w:color="000000" w:sz="6" w:space="0"/>
            </w:tcBorders>
          </w:tcPr>
          <w:p>
            <w:pPr>
              <w:spacing w:line="360" w:lineRule="auto"/>
              <w:jc w:val="center"/>
              <w:rPr>
                <w:szCs w:val="21"/>
              </w:rPr>
            </w:pPr>
          </w:p>
        </w:tc>
        <w:tc>
          <w:tcPr>
            <w:tcW w:w="1205" w:type="dxa"/>
            <w:tcBorders>
              <w:top w:val="single" w:color="000000" w:sz="6" w:space="0"/>
              <w:left w:val="single" w:color="000000" w:sz="6" w:space="0"/>
              <w:bottom w:val="single" w:color="000000" w:sz="6" w:space="0"/>
              <w:right w:val="single" w:color="auto" w:sz="4" w:space="0"/>
            </w:tcBorders>
          </w:tcPr>
          <w:p>
            <w:pPr>
              <w:spacing w:line="360" w:lineRule="auto"/>
              <w:jc w:val="center"/>
              <w:rPr>
                <w:szCs w:val="21"/>
              </w:rPr>
            </w:pPr>
          </w:p>
        </w:tc>
        <w:tc>
          <w:tcPr>
            <w:tcW w:w="1200" w:type="dxa"/>
            <w:tcBorders>
              <w:top w:val="single" w:color="000000" w:sz="6" w:space="0"/>
              <w:left w:val="single" w:color="auto" w:sz="4" w:space="0"/>
              <w:bottom w:val="single" w:color="000000" w:sz="6" w:space="0"/>
              <w:right w:val="single" w:color="000000" w:sz="6" w:space="0"/>
            </w:tcBorders>
          </w:tcPr>
          <w:p>
            <w:pPr>
              <w:spacing w:line="360" w:lineRule="auto"/>
              <w:jc w:val="center"/>
              <w:rPr>
                <w:szCs w:val="21"/>
              </w:rPr>
            </w:pPr>
          </w:p>
        </w:tc>
        <w:tc>
          <w:tcPr>
            <w:tcW w:w="1200" w:type="dxa"/>
            <w:tcBorders>
              <w:top w:val="single" w:color="000000" w:sz="6" w:space="0"/>
              <w:left w:val="single" w:color="000000" w:sz="6" w:space="0"/>
              <w:bottom w:val="single" w:color="000000" w:sz="6" w:space="0"/>
              <w:right w:val="single" w:color="000000" w:sz="6" w:space="0"/>
            </w:tcBorders>
          </w:tcPr>
          <w:p>
            <w:pPr>
              <w:spacing w:line="360" w:lineRule="auto"/>
              <w:jc w:val="center"/>
              <w:rPr>
                <w:szCs w:val="21"/>
              </w:rPr>
            </w:pPr>
          </w:p>
        </w:tc>
        <w:tc>
          <w:tcPr>
            <w:tcW w:w="1200" w:type="dxa"/>
            <w:tcBorders>
              <w:top w:val="single" w:color="000000" w:sz="6" w:space="0"/>
              <w:left w:val="single" w:color="000000" w:sz="6" w:space="0"/>
              <w:bottom w:val="single" w:color="000000" w:sz="6" w:space="0"/>
              <w:right w:val="single" w:color="auto" w:sz="4" w:space="0"/>
            </w:tcBorders>
          </w:tcPr>
          <w:p>
            <w:pPr>
              <w:spacing w:line="360" w:lineRule="auto"/>
              <w:jc w:val="center"/>
              <w:rPr>
                <w:szCs w:val="21"/>
              </w:rPr>
            </w:pPr>
          </w:p>
        </w:tc>
        <w:tc>
          <w:tcPr>
            <w:tcW w:w="1329"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c>
          <w:tcPr>
            <w:tcW w:w="1281"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c>
          <w:tcPr>
            <w:tcW w:w="1027"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c>
          <w:tcPr>
            <w:tcW w:w="788" w:type="dxa"/>
            <w:tcBorders>
              <w:top w:val="single" w:color="000000" w:sz="6" w:space="0"/>
              <w:left w:val="single" w:color="auto" w:sz="4" w:space="0"/>
              <w:bottom w:val="single" w:color="000000" w:sz="6" w:space="0"/>
              <w:right w:val="single" w:color="000000" w:sz="6" w:space="0"/>
            </w:tcBorders>
          </w:tcPr>
          <w:p>
            <w:pPr>
              <w:spacing w:line="360" w:lineRule="auto"/>
              <w:jc w:val="center"/>
              <w:rPr>
                <w:szCs w:val="21"/>
              </w:rPr>
            </w:pPr>
          </w:p>
        </w:tc>
        <w:tc>
          <w:tcPr>
            <w:tcW w:w="1205" w:type="dxa"/>
            <w:tcBorders>
              <w:top w:val="single" w:color="000000" w:sz="6" w:space="0"/>
              <w:left w:val="single" w:color="000000" w:sz="6" w:space="0"/>
              <w:bottom w:val="single" w:color="000000" w:sz="6" w:space="0"/>
              <w:right w:val="single" w:color="auto" w:sz="4" w:space="0"/>
            </w:tcBorders>
          </w:tcPr>
          <w:p>
            <w:pPr>
              <w:spacing w:line="360" w:lineRule="auto"/>
              <w:jc w:val="center"/>
              <w:rPr>
                <w:szCs w:val="21"/>
              </w:rPr>
            </w:pPr>
          </w:p>
        </w:tc>
        <w:tc>
          <w:tcPr>
            <w:tcW w:w="1200" w:type="dxa"/>
            <w:tcBorders>
              <w:top w:val="single" w:color="000000" w:sz="6" w:space="0"/>
              <w:left w:val="single" w:color="auto" w:sz="4" w:space="0"/>
              <w:bottom w:val="single" w:color="000000" w:sz="6" w:space="0"/>
              <w:right w:val="single" w:color="000000" w:sz="6" w:space="0"/>
            </w:tcBorders>
          </w:tcPr>
          <w:p>
            <w:pPr>
              <w:spacing w:line="360" w:lineRule="auto"/>
              <w:jc w:val="center"/>
              <w:rPr>
                <w:szCs w:val="21"/>
              </w:rPr>
            </w:pPr>
          </w:p>
        </w:tc>
        <w:tc>
          <w:tcPr>
            <w:tcW w:w="1200" w:type="dxa"/>
            <w:tcBorders>
              <w:top w:val="single" w:color="000000" w:sz="6" w:space="0"/>
              <w:left w:val="single" w:color="000000" w:sz="6" w:space="0"/>
              <w:bottom w:val="single" w:color="000000" w:sz="6" w:space="0"/>
              <w:right w:val="single" w:color="000000" w:sz="6" w:space="0"/>
            </w:tcBorders>
          </w:tcPr>
          <w:p>
            <w:pPr>
              <w:spacing w:line="360" w:lineRule="auto"/>
              <w:jc w:val="center"/>
              <w:rPr>
                <w:szCs w:val="21"/>
              </w:rPr>
            </w:pPr>
          </w:p>
        </w:tc>
        <w:tc>
          <w:tcPr>
            <w:tcW w:w="1200" w:type="dxa"/>
            <w:tcBorders>
              <w:top w:val="single" w:color="000000" w:sz="6" w:space="0"/>
              <w:left w:val="single" w:color="000000" w:sz="6" w:space="0"/>
              <w:bottom w:val="single" w:color="000000" w:sz="6" w:space="0"/>
              <w:right w:val="single" w:color="auto" w:sz="4" w:space="0"/>
            </w:tcBorders>
          </w:tcPr>
          <w:p>
            <w:pPr>
              <w:spacing w:line="360" w:lineRule="auto"/>
              <w:jc w:val="center"/>
              <w:rPr>
                <w:szCs w:val="21"/>
              </w:rPr>
            </w:pPr>
          </w:p>
        </w:tc>
        <w:tc>
          <w:tcPr>
            <w:tcW w:w="1329"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c>
          <w:tcPr>
            <w:tcW w:w="1281"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c>
          <w:tcPr>
            <w:tcW w:w="1027"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c>
          <w:tcPr>
            <w:tcW w:w="788" w:type="dxa"/>
            <w:tcBorders>
              <w:top w:val="single" w:color="000000" w:sz="6" w:space="0"/>
              <w:left w:val="single" w:color="auto" w:sz="4" w:space="0"/>
              <w:bottom w:val="single" w:color="000000" w:sz="6" w:space="0"/>
              <w:right w:val="single" w:color="000000" w:sz="6" w:space="0"/>
            </w:tcBorders>
          </w:tcPr>
          <w:p>
            <w:pPr>
              <w:spacing w:line="360" w:lineRule="auto"/>
              <w:jc w:val="center"/>
              <w:rPr>
                <w:szCs w:val="21"/>
              </w:rPr>
            </w:pPr>
          </w:p>
        </w:tc>
        <w:tc>
          <w:tcPr>
            <w:tcW w:w="1205" w:type="dxa"/>
            <w:tcBorders>
              <w:top w:val="single" w:color="000000" w:sz="6" w:space="0"/>
              <w:left w:val="single" w:color="000000" w:sz="6" w:space="0"/>
              <w:bottom w:val="single" w:color="000000" w:sz="6" w:space="0"/>
              <w:right w:val="single" w:color="auto" w:sz="4" w:space="0"/>
            </w:tcBorders>
          </w:tcPr>
          <w:p>
            <w:pPr>
              <w:spacing w:line="360" w:lineRule="auto"/>
              <w:jc w:val="center"/>
              <w:rPr>
                <w:szCs w:val="21"/>
              </w:rPr>
            </w:pPr>
          </w:p>
        </w:tc>
        <w:tc>
          <w:tcPr>
            <w:tcW w:w="1200" w:type="dxa"/>
            <w:tcBorders>
              <w:top w:val="single" w:color="000000" w:sz="6" w:space="0"/>
              <w:left w:val="single" w:color="auto" w:sz="4" w:space="0"/>
              <w:bottom w:val="single" w:color="000000" w:sz="6" w:space="0"/>
              <w:right w:val="single" w:color="000000" w:sz="6" w:space="0"/>
            </w:tcBorders>
          </w:tcPr>
          <w:p>
            <w:pPr>
              <w:spacing w:line="360" w:lineRule="auto"/>
              <w:jc w:val="center"/>
              <w:rPr>
                <w:szCs w:val="21"/>
              </w:rPr>
            </w:pPr>
          </w:p>
        </w:tc>
        <w:tc>
          <w:tcPr>
            <w:tcW w:w="1200" w:type="dxa"/>
            <w:tcBorders>
              <w:top w:val="single" w:color="000000" w:sz="6" w:space="0"/>
              <w:left w:val="single" w:color="000000" w:sz="6" w:space="0"/>
              <w:bottom w:val="single" w:color="000000" w:sz="6" w:space="0"/>
              <w:right w:val="single" w:color="000000" w:sz="6" w:space="0"/>
            </w:tcBorders>
          </w:tcPr>
          <w:p>
            <w:pPr>
              <w:spacing w:line="360" w:lineRule="auto"/>
              <w:jc w:val="center"/>
              <w:rPr>
                <w:szCs w:val="21"/>
              </w:rPr>
            </w:pPr>
          </w:p>
        </w:tc>
        <w:tc>
          <w:tcPr>
            <w:tcW w:w="1200" w:type="dxa"/>
            <w:tcBorders>
              <w:top w:val="single" w:color="000000" w:sz="6" w:space="0"/>
              <w:left w:val="single" w:color="000000" w:sz="6" w:space="0"/>
              <w:bottom w:val="single" w:color="000000" w:sz="6" w:space="0"/>
              <w:right w:val="single" w:color="auto" w:sz="4" w:space="0"/>
            </w:tcBorders>
          </w:tcPr>
          <w:p>
            <w:pPr>
              <w:spacing w:line="360" w:lineRule="auto"/>
              <w:jc w:val="center"/>
              <w:rPr>
                <w:szCs w:val="21"/>
              </w:rPr>
            </w:pPr>
          </w:p>
        </w:tc>
        <w:tc>
          <w:tcPr>
            <w:tcW w:w="1329"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c>
          <w:tcPr>
            <w:tcW w:w="1281"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c>
          <w:tcPr>
            <w:tcW w:w="1027"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c>
          <w:tcPr>
            <w:tcW w:w="788" w:type="dxa"/>
            <w:tcBorders>
              <w:top w:val="single" w:color="000000" w:sz="6" w:space="0"/>
              <w:left w:val="single" w:color="auto" w:sz="4" w:space="0"/>
              <w:bottom w:val="single" w:color="000000" w:sz="6" w:space="0"/>
              <w:right w:val="single" w:color="000000" w:sz="6" w:space="0"/>
            </w:tcBorders>
          </w:tcPr>
          <w:p>
            <w:pPr>
              <w:spacing w:line="360" w:lineRule="auto"/>
              <w:jc w:val="center"/>
              <w:rPr>
                <w:szCs w:val="21"/>
              </w:rPr>
            </w:pPr>
          </w:p>
        </w:tc>
        <w:tc>
          <w:tcPr>
            <w:tcW w:w="1205" w:type="dxa"/>
            <w:tcBorders>
              <w:top w:val="single" w:color="000000" w:sz="6" w:space="0"/>
              <w:left w:val="single" w:color="000000" w:sz="6" w:space="0"/>
              <w:bottom w:val="single" w:color="000000" w:sz="6" w:space="0"/>
              <w:right w:val="single" w:color="auto" w:sz="4" w:space="0"/>
            </w:tcBorders>
          </w:tcPr>
          <w:p>
            <w:pPr>
              <w:spacing w:line="360" w:lineRule="auto"/>
              <w:jc w:val="center"/>
              <w:rPr>
                <w:szCs w:val="21"/>
              </w:rPr>
            </w:pPr>
          </w:p>
        </w:tc>
        <w:tc>
          <w:tcPr>
            <w:tcW w:w="1200" w:type="dxa"/>
            <w:tcBorders>
              <w:top w:val="single" w:color="000000" w:sz="6" w:space="0"/>
              <w:left w:val="single" w:color="auto" w:sz="4" w:space="0"/>
              <w:bottom w:val="single" w:color="000000" w:sz="6" w:space="0"/>
              <w:right w:val="single" w:color="000000" w:sz="6" w:space="0"/>
            </w:tcBorders>
          </w:tcPr>
          <w:p>
            <w:pPr>
              <w:spacing w:line="360" w:lineRule="auto"/>
              <w:jc w:val="center"/>
              <w:rPr>
                <w:szCs w:val="21"/>
              </w:rPr>
            </w:pPr>
          </w:p>
        </w:tc>
        <w:tc>
          <w:tcPr>
            <w:tcW w:w="1200" w:type="dxa"/>
            <w:tcBorders>
              <w:top w:val="single" w:color="000000" w:sz="6" w:space="0"/>
              <w:left w:val="single" w:color="000000" w:sz="6" w:space="0"/>
              <w:bottom w:val="single" w:color="000000" w:sz="6" w:space="0"/>
              <w:right w:val="single" w:color="000000" w:sz="6" w:space="0"/>
            </w:tcBorders>
          </w:tcPr>
          <w:p>
            <w:pPr>
              <w:spacing w:line="360" w:lineRule="auto"/>
              <w:jc w:val="center"/>
              <w:rPr>
                <w:szCs w:val="21"/>
              </w:rPr>
            </w:pPr>
          </w:p>
        </w:tc>
        <w:tc>
          <w:tcPr>
            <w:tcW w:w="1200" w:type="dxa"/>
            <w:tcBorders>
              <w:top w:val="single" w:color="000000" w:sz="6" w:space="0"/>
              <w:left w:val="single" w:color="000000" w:sz="6" w:space="0"/>
              <w:bottom w:val="single" w:color="000000" w:sz="6" w:space="0"/>
              <w:right w:val="single" w:color="auto" w:sz="4" w:space="0"/>
            </w:tcBorders>
          </w:tcPr>
          <w:p>
            <w:pPr>
              <w:spacing w:line="360" w:lineRule="auto"/>
              <w:jc w:val="center"/>
              <w:rPr>
                <w:szCs w:val="21"/>
              </w:rPr>
            </w:pPr>
          </w:p>
        </w:tc>
        <w:tc>
          <w:tcPr>
            <w:tcW w:w="1329"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c>
          <w:tcPr>
            <w:tcW w:w="1281"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c>
          <w:tcPr>
            <w:tcW w:w="1027" w:type="dxa"/>
            <w:tcBorders>
              <w:top w:val="single" w:color="000000" w:sz="6" w:space="0"/>
              <w:left w:val="single" w:color="auto" w:sz="4" w:space="0"/>
              <w:bottom w:val="single" w:color="000000" w:sz="6" w:space="0"/>
              <w:right w:val="single" w:color="auto" w:sz="4" w:space="0"/>
            </w:tcBorders>
          </w:tcPr>
          <w:p>
            <w:pPr>
              <w:spacing w:line="360" w:lineRule="auto"/>
              <w:jc w:val="center"/>
              <w:rPr>
                <w:szCs w:val="21"/>
              </w:rPr>
            </w:pPr>
          </w:p>
        </w:tc>
      </w:tr>
    </w:tbl>
    <w:p>
      <w:pPr>
        <w:spacing w:line="440" w:lineRule="exact"/>
        <w:ind w:firstLine="420" w:firstLineChars="200"/>
        <w:rPr>
          <w:rFonts w:ascii="宋体" w:hAnsi="宋体"/>
          <w:szCs w:val="21"/>
        </w:rPr>
      </w:pPr>
      <w:r>
        <w:rPr>
          <w:rFonts w:hint="eastAsia" w:ascii="宋体" w:hAnsi="宋体"/>
          <w:szCs w:val="21"/>
        </w:rPr>
        <w:t>响应单位：（单位盖章）</w:t>
      </w:r>
    </w:p>
    <w:p>
      <w:pPr>
        <w:spacing w:line="440" w:lineRule="exact"/>
        <w:ind w:firstLine="420" w:firstLineChars="200"/>
        <w:rPr>
          <w:rFonts w:ascii="宋体" w:hAnsi="宋体"/>
          <w:szCs w:val="21"/>
        </w:rPr>
      </w:pPr>
      <w:r>
        <w:rPr>
          <w:rFonts w:hint="eastAsia" w:ascii="宋体" w:hAnsi="宋体"/>
          <w:szCs w:val="21"/>
        </w:rPr>
        <w:t>法定代表人或代理人：（签字或盖章）</w:t>
      </w:r>
    </w:p>
    <w:p>
      <w:pPr>
        <w:spacing w:line="440" w:lineRule="exact"/>
        <w:ind w:firstLine="420" w:firstLineChars="200"/>
        <w:rPr>
          <w:rFonts w:ascii="宋体" w:hAnsi="宋体"/>
          <w:szCs w:val="21"/>
        </w:rPr>
      </w:pPr>
      <w:r>
        <w:rPr>
          <w:rFonts w:hint="eastAsia" w:ascii="宋体" w:hAnsi="宋体"/>
          <w:szCs w:val="21"/>
        </w:rPr>
        <w:t>日期：    年   月   日</w:t>
      </w:r>
    </w:p>
    <w:p>
      <w:pPr>
        <w:spacing w:line="400" w:lineRule="exact"/>
        <w:rPr>
          <w:rFonts w:ascii="宋体" w:hAnsi="宋体"/>
          <w:b/>
          <w:szCs w:val="21"/>
        </w:rPr>
      </w:pPr>
    </w:p>
    <w:p>
      <w:pPr>
        <w:pStyle w:val="11"/>
        <w:overflowPunct w:val="0"/>
        <w:spacing w:line="400" w:lineRule="exact"/>
        <w:ind w:firstLine="0"/>
        <w:rPr>
          <w:rFonts w:ascii="宋体" w:hAnsi="宋体" w:eastAsia="宋体"/>
          <w:b/>
          <w:sz w:val="21"/>
          <w:szCs w:val="21"/>
        </w:rPr>
      </w:pPr>
      <w:r>
        <w:rPr>
          <w:rFonts w:ascii="宋体" w:hAnsi="宋体" w:eastAsia="宋体"/>
          <w:b/>
          <w:sz w:val="21"/>
          <w:szCs w:val="24"/>
        </w:rPr>
        <w:br w:type="page"/>
      </w:r>
      <w:r>
        <w:rPr>
          <w:rFonts w:ascii="宋体" w:hAnsi="宋体" w:eastAsia="宋体"/>
          <w:b/>
          <w:sz w:val="21"/>
          <w:szCs w:val="24"/>
        </w:rPr>
        <w:t>附件6、</w:t>
      </w:r>
      <w:r>
        <w:rPr>
          <w:rFonts w:ascii="宋体" w:hAnsi="宋体" w:eastAsia="宋体"/>
          <w:b/>
          <w:sz w:val="21"/>
          <w:szCs w:val="21"/>
        </w:rPr>
        <w:t>资格证明文件</w:t>
      </w:r>
    </w:p>
    <w:p>
      <w:pPr>
        <w:pStyle w:val="11"/>
        <w:overflowPunct w:val="0"/>
        <w:ind w:firstLine="0"/>
        <w:jc w:val="both"/>
        <w:rPr>
          <w:rFonts w:ascii="宋体" w:hAnsi="宋体" w:eastAsia="宋体"/>
          <w:b/>
          <w:sz w:val="21"/>
          <w:szCs w:val="21"/>
        </w:rPr>
      </w:pPr>
      <w:r>
        <w:rPr>
          <w:rFonts w:ascii="宋体" w:hAnsi="宋体" w:eastAsia="宋体"/>
          <w:b/>
          <w:sz w:val="21"/>
          <w:szCs w:val="21"/>
        </w:rPr>
        <w:t>(1) 资格文件的声明函</w:t>
      </w:r>
    </w:p>
    <w:p>
      <w:pPr>
        <w:pStyle w:val="11"/>
        <w:overflowPunct w:val="0"/>
        <w:ind w:firstLine="0"/>
        <w:rPr>
          <w:rFonts w:ascii="宋体" w:hAnsi="宋体" w:eastAsia="宋体"/>
          <w:sz w:val="21"/>
          <w:szCs w:val="21"/>
        </w:rPr>
      </w:pPr>
    </w:p>
    <w:p>
      <w:pPr>
        <w:pStyle w:val="11"/>
        <w:overflowPunct w:val="0"/>
        <w:jc w:val="center"/>
        <w:rPr>
          <w:rFonts w:ascii="宋体" w:hAnsi="宋体" w:eastAsia="宋体"/>
          <w:sz w:val="21"/>
          <w:szCs w:val="21"/>
        </w:rPr>
      </w:pPr>
      <w:r>
        <w:rPr>
          <w:rFonts w:ascii="宋体" w:hAnsi="宋体" w:eastAsia="宋体"/>
          <w:sz w:val="21"/>
          <w:szCs w:val="21"/>
        </w:rPr>
        <w:t>资格文件的声明函</w:t>
      </w:r>
    </w:p>
    <w:p>
      <w:pPr>
        <w:pStyle w:val="11"/>
        <w:overflowPunct w:val="0"/>
        <w:spacing w:line="400" w:lineRule="exact"/>
        <w:ind w:firstLine="0"/>
        <w:rPr>
          <w:rFonts w:ascii="宋体" w:hAnsi="宋体" w:eastAsia="宋体"/>
          <w:sz w:val="21"/>
          <w:szCs w:val="21"/>
        </w:rPr>
      </w:pPr>
      <w:r>
        <w:rPr>
          <w:rFonts w:ascii="宋体" w:hAnsi="宋体" w:eastAsia="宋体"/>
          <w:sz w:val="21"/>
          <w:szCs w:val="21"/>
        </w:rPr>
        <w:t xml:space="preserve"> </w:t>
      </w:r>
      <w:r>
        <w:rPr>
          <w:rFonts w:ascii="宋体" w:hAnsi="宋体" w:eastAsia="宋体"/>
          <w:sz w:val="21"/>
          <w:szCs w:val="21"/>
          <w:u w:val="single"/>
        </w:rPr>
        <w:t xml:space="preserve"> </w:t>
      </w:r>
      <w:r>
        <w:rPr>
          <w:rFonts w:hint="eastAsia" w:ascii="宋体" w:hAnsi="宋体" w:eastAsia="宋体"/>
          <w:sz w:val="21"/>
          <w:szCs w:val="21"/>
          <w:u w:val="single"/>
          <w:lang w:eastAsia="zh-CN"/>
        </w:rPr>
        <w:t>新沂市公共资源交易中心</w:t>
      </w:r>
      <w:r>
        <w:rPr>
          <w:rFonts w:ascii="宋体" w:hAnsi="宋体" w:eastAsia="宋体"/>
          <w:sz w:val="21"/>
          <w:szCs w:val="21"/>
          <w:u w:val="single"/>
        </w:rPr>
        <w:t xml:space="preserve"> </w:t>
      </w:r>
      <w:r>
        <w:rPr>
          <w:rFonts w:ascii="宋体" w:hAnsi="宋体" w:eastAsia="宋体"/>
          <w:sz w:val="21"/>
          <w:szCs w:val="21"/>
        </w:rPr>
        <w:t>：</w:t>
      </w:r>
    </w:p>
    <w:p>
      <w:pPr>
        <w:pStyle w:val="11"/>
        <w:overflowPunct w:val="0"/>
        <w:spacing w:line="400" w:lineRule="exact"/>
        <w:ind w:firstLine="660"/>
        <w:rPr>
          <w:rFonts w:ascii="宋体" w:hAnsi="宋体" w:eastAsia="宋体"/>
          <w:sz w:val="21"/>
          <w:szCs w:val="21"/>
        </w:rPr>
      </w:pPr>
      <w:r>
        <w:rPr>
          <w:rFonts w:ascii="宋体" w:hAnsi="宋体" w:eastAsia="宋体"/>
          <w:sz w:val="21"/>
          <w:szCs w:val="21"/>
        </w:rPr>
        <w:t>本公司愿就由贵公司组织实施的编号为</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rPr>
        <w:t>新采磋（2022）XYZYJY 1101</w:t>
      </w:r>
      <w:r>
        <w:rPr>
          <w:rFonts w:ascii="宋体" w:hAnsi="宋体" w:eastAsia="宋体"/>
          <w:sz w:val="21"/>
          <w:szCs w:val="21"/>
        </w:rPr>
        <w:t>号的磋商采购活动进行响应。本公司所提交的响应文件中所有关于响应文件、证明和陈述均是真实的、准确的、有效的。若与真实情况不符，本公司愿意承担由此而产生的一切后果。</w:t>
      </w:r>
    </w:p>
    <w:p>
      <w:pPr>
        <w:pStyle w:val="11"/>
        <w:overflowPunct w:val="0"/>
        <w:spacing w:line="400" w:lineRule="exact"/>
        <w:rPr>
          <w:rFonts w:ascii="宋体" w:hAnsi="宋体" w:eastAsia="宋体"/>
          <w:sz w:val="21"/>
          <w:szCs w:val="21"/>
        </w:rPr>
      </w:pPr>
    </w:p>
    <w:p>
      <w:pPr>
        <w:pStyle w:val="11"/>
        <w:overflowPunct w:val="0"/>
        <w:spacing w:line="400" w:lineRule="exact"/>
        <w:rPr>
          <w:rFonts w:ascii="宋体" w:hAnsi="宋体" w:eastAsia="宋体"/>
          <w:sz w:val="21"/>
          <w:szCs w:val="21"/>
        </w:rPr>
      </w:pPr>
      <w:r>
        <w:rPr>
          <w:rFonts w:ascii="宋体" w:hAnsi="宋体" w:eastAsia="宋体"/>
          <w:sz w:val="21"/>
          <w:szCs w:val="21"/>
        </w:rPr>
        <w:t xml:space="preserve">                        法定代表人（签字或盖章）：</w:t>
      </w:r>
    </w:p>
    <w:p>
      <w:pPr>
        <w:pStyle w:val="11"/>
        <w:overflowPunct w:val="0"/>
        <w:spacing w:line="400" w:lineRule="exact"/>
        <w:ind w:left="1700" w:firstLine="425"/>
        <w:rPr>
          <w:rFonts w:ascii="宋体" w:hAnsi="宋体" w:eastAsia="宋体"/>
          <w:sz w:val="21"/>
          <w:szCs w:val="21"/>
        </w:rPr>
      </w:pPr>
      <w:r>
        <w:rPr>
          <w:rFonts w:ascii="宋体" w:hAnsi="宋体" w:eastAsia="宋体"/>
          <w:sz w:val="21"/>
          <w:szCs w:val="21"/>
        </w:rPr>
        <w:t xml:space="preserve">        供应商（公章）：</w:t>
      </w:r>
    </w:p>
    <w:p>
      <w:pPr>
        <w:pStyle w:val="11"/>
        <w:overflowPunct w:val="0"/>
        <w:spacing w:line="400" w:lineRule="exact"/>
        <w:rPr>
          <w:rFonts w:ascii="宋体" w:hAnsi="宋体" w:eastAsia="宋体"/>
          <w:sz w:val="21"/>
          <w:szCs w:val="21"/>
        </w:rPr>
      </w:pPr>
      <w:r>
        <w:rPr>
          <w:rFonts w:ascii="宋体" w:hAnsi="宋体" w:eastAsia="宋体"/>
          <w:sz w:val="21"/>
          <w:szCs w:val="21"/>
        </w:rPr>
        <w:t xml:space="preserve">                                 年</w:t>
      </w:r>
      <w:r>
        <w:rPr>
          <w:rFonts w:ascii="宋体" w:hAnsi="宋体" w:eastAsia="宋体"/>
          <w:sz w:val="21"/>
          <w:szCs w:val="21"/>
        </w:rPr>
        <w:tab/>
      </w:r>
      <w:r>
        <w:rPr>
          <w:rFonts w:ascii="宋体" w:hAnsi="宋体" w:eastAsia="宋体"/>
          <w:sz w:val="21"/>
          <w:szCs w:val="21"/>
        </w:rPr>
        <w:t xml:space="preserve"> 月 </w:t>
      </w:r>
      <w:r>
        <w:rPr>
          <w:rFonts w:ascii="宋体" w:hAnsi="宋体" w:eastAsia="宋体"/>
          <w:sz w:val="21"/>
          <w:szCs w:val="21"/>
        </w:rPr>
        <w:tab/>
      </w:r>
      <w:r>
        <w:rPr>
          <w:rFonts w:ascii="宋体" w:hAnsi="宋体" w:eastAsia="宋体"/>
          <w:sz w:val="21"/>
          <w:szCs w:val="21"/>
        </w:rPr>
        <w:t>日</w:t>
      </w:r>
    </w:p>
    <w:p>
      <w:pPr>
        <w:pStyle w:val="11"/>
        <w:overflowPunct w:val="0"/>
        <w:ind w:firstLine="0"/>
        <w:jc w:val="both"/>
        <w:rPr>
          <w:rFonts w:ascii="宋体" w:hAnsi="宋体" w:eastAsia="宋体"/>
          <w:b/>
          <w:sz w:val="21"/>
          <w:szCs w:val="21"/>
        </w:rPr>
      </w:pPr>
    </w:p>
    <w:p>
      <w:pPr>
        <w:pStyle w:val="11"/>
        <w:overflowPunct w:val="0"/>
        <w:ind w:firstLine="0"/>
        <w:jc w:val="both"/>
        <w:rPr>
          <w:rFonts w:ascii="宋体" w:hAnsi="宋体" w:eastAsia="宋体"/>
          <w:b/>
          <w:sz w:val="21"/>
          <w:szCs w:val="21"/>
        </w:rPr>
      </w:pPr>
      <w:r>
        <w:rPr>
          <w:rFonts w:ascii="宋体" w:hAnsi="宋体" w:eastAsia="宋体"/>
          <w:b/>
          <w:sz w:val="21"/>
          <w:szCs w:val="21"/>
        </w:rPr>
        <w:t>(2)供应商情况表</w:t>
      </w:r>
    </w:p>
    <w:p>
      <w:pPr>
        <w:pStyle w:val="11"/>
        <w:overflowPunct w:val="0"/>
        <w:ind w:firstLine="0"/>
        <w:jc w:val="center"/>
        <w:rPr>
          <w:rFonts w:ascii="宋体" w:hAnsi="宋体" w:eastAsia="宋体"/>
          <w:sz w:val="21"/>
          <w:szCs w:val="21"/>
        </w:rPr>
      </w:pPr>
      <w:r>
        <w:rPr>
          <w:rFonts w:ascii="宋体" w:hAnsi="宋体" w:eastAsia="宋体"/>
          <w:sz w:val="21"/>
          <w:szCs w:val="21"/>
        </w:rPr>
        <w:t>供应商情况表</w:t>
      </w:r>
    </w:p>
    <w:p>
      <w:pPr>
        <w:pStyle w:val="11"/>
        <w:overflowPunct w:val="0"/>
        <w:jc w:val="both"/>
        <w:rPr>
          <w:rFonts w:ascii="宋体" w:hAnsi="宋体" w:eastAsia="宋体"/>
          <w:sz w:val="21"/>
          <w:szCs w:val="21"/>
        </w:rPr>
      </w:pPr>
    </w:p>
    <w:p>
      <w:pPr>
        <w:pStyle w:val="11"/>
        <w:overflowPunct w:val="0"/>
        <w:jc w:val="both"/>
        <w:rPr>
          <w:rFonts w:ascii="宋体" w:hAnsi="宋体" w:eastAsia="宋体"/>
          <w:b/>
          <w:sz w:val="21"/>
          <w:szCs w:val="21"/>
        </w:rPr>
      </w:pPr>
      <w:r>
        <w:rPr>
          <w:rFonts w:ascii="宋体" w:hAnsi="宋体" w:eastAsia="宋体"/>
          <w:sz w:val="21"/>
          <w:szCs w:val="21"/>
        </w:rPr>
        <w:t>单位名称（盖章）</w:t>
      </w:r>
    </w:p>
    <w:tbl>
      <w:tblPr>
        <w:tblStyle w:val="24"/>
        <w:tblW w:w="907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52"/>
        <w:gridCol w:w="2268"/>
        <w:gridCol w:w="1559"/>
        <w:gridCol w:w="26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46" w:hRule="atLeast"/>
          <w:jc w:val="center"/>
        </w:trPr>
        <w:tc>
          <w:tcPr>
            <w:tcW w:w="2552" w:type="dxa"/>
            <w:vAlign w:val="center"/>
          </w:tcPr>
          <w:p>
            <w:pPr>
              <w:pStyle w:val="11"/>
              <w:overflowPunct w:val="0"/>
              <w:ind w:firstLine="0"/>
              <w:jc w:val="center"/>
              <w:rPr>
                <w:rFonts w:ascii="宋体" w:hAnsi="宋体" w:eastAsia="宋体"/>
                <w:sz w:val="21"/>
                <w:szCs w:val="21"/>
              </w:rPr>
            </w:pPr>
            <w:r>
              <w:rPr>
                <w:rFonts w:ascii="宋体" w:hAnsi="宋体" w:eastAsia="宋体"/>
                <w:sz w:val="21"/>
                <w:szCs w:val="21"/>
              </w:rPr>
              <w:t>法定代表人</w:t>
            </w:r>
          </w:p>
        </w:tc>
        <w:tc>
          <w:tcPr>
            <w:tcW w:w="2268" w:type="dxa"/>
          </w:tcPr>
          <w:p>
            <w:pPr>
              <w:pStyle w:val="11"/>
              <w:overflowPunct w:val="0"/>
              <w:ind w:firstLine="0"/>
              <w:jc w:val="center"/>
              <w:rPr>
                <w:rFonts w:ascii="宋体" w:hAnsi="宋体" w:eastAsia="宋体"/>
                <w:sz w:val="21"/>
                <w:szCs w:val="21"/>
              </w:rPr>
            </w:pPr>
          </w:p>
        </w:tc>
        <w:tc>
          <w:tcPr>
            <w:tcW w:w="1559" w:type="dxa"/>
          </w:tcPr>
          <w:p>
            <w:pPr>
              <w:pStyle w:val="11"/>
              <w:overflowPunct w:val="0"/>
              <w:ind w:firstLine="0"/>
              <w:jc w:val="center"/>
              <w:rPr>
                <w:rFonts w:ascii="宋体" w:hAnsi="宋体" w:eastAsia="宋体"/>
                <w:sz w:val="21"/>
                <w:szCs w:val="21"/>
              </w:rPr>
            </w:pPr>
            <w:r>
              <w:rPr>
                <w:rFonts w:ascii="宋体" w:hAnsi="宋体" w:eastAsia="宋体"/>
                <w:sz w:val="21"/>
                <w:szCs w:val="21"/>
              </w:rPr>
              <w:t>成立日期</w:t>
            </w:r>
          </w:p>
        </w:tc>
        <w:tc>
          <w:tcPr>
            <w:tcW w:w="2694" w:type="dxa"/>
          </w:tcPr>
          <w:p>
            <w:pPr>
              <w:pStyle w:val="11"/>
              <w:overflowPunct w:val="0"/>
              <w:ind w:firstLine="0"/>
              <w:jc w:val="center"/>
              <w:rPr>
                <w:rFonts w:ascii="宋体" w:hAnsi="宋体" w:eastAsia="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10" w:hRule="atLeast"/>
          <w:jc w:val="center"/>
        </w:trPr>
        <w:tc>
          <w:tcPr>
            <w:tcW w:w="2552" w:type="dxa"/>
            <w:vAlign w:val="center"/>
          </w:tcPr>
          <w:p>
            <w:pPr>
              <w:pStyle w:val="11"/>
              <w:overflowPunct w:val="0"/>
              <w:ind w:firstLine="0"/>
              <w:jc w:val="center"/>
              <w:rPr>
                <w:rFonts w:ascii="宋体" w:hAnsi="宋体" w:eastAsia="宋体"/>
                <w:sz w:val="21"/>
                <w:szCs w:val="21"/>
              </w:rPr>
            </w:pPr>
            <w:r>
              <w:rPr>
                <w:rFonts w:ascii="宋体" w:hAnsi="宋体" w:eastAsia="宋体"/>
                <w:sz w:val="21"/>
                <w:szCs w:val="21"/>
              </w:rPr>
              <w:t>注册地址</w:t>
            </w:r>
          </w:p>
        </w:tc>
        <w:tc>
          <w:tcPr>
            <w:tcW w:w="2268" w:type="dxa"/>
          </w:tcPr>
          <w:p>
            <w:pPr>
              <w:pStyle w:val="11"/>
              <w:overflowPunct w:val="0"/>
              <w:ind w:firstLine="0"/>
              <w:jc w:val="center"/>
              <w:rPr>
                <w:rFonts w:ascii="宋体" w:hAnsi="宋体" w:eastAsia="宋体"/>
                <w:sz w:val="21"/>
                <w:szCs w:val="21"/>
              </w:rPr>
            </w:pPr>
          </w:p>
        </w:tc>
        <w:tc>
          <w:tcPr>
            <w:tcW w:w="1559" w:type="dxa"/>
          </w:tcPr>
          <w:p>
            <w:pPr>
              <w:pStyle w:val="11"/>
              <w:overflowPunct w:val="0"/>
              <w:ind w:firstLine="0"/>
              <w:jc w:val="center"/>
              <w:rPr>
                <w:rFonts w:ascii="宋体" w:hAnsi="宋体" w:eastAsia="宋体"/>
                <w:sz w:val="21"/>
                <w:szCs w:val="21"/>
              </w:rPr>
            </w:pPr>
            <w:r>
              <w:rPr>
                <w:rFonts w:ascii="宋体" w:hAnsi="宋体" w:eastAsia="宋体"/>
                <w:sz w:val="21"/>
                <w:szCs w:val="21"/>
              </w:rPr>
              <w:t>注册资金</w:t>
            </w:r>
          </w:p>
        </w:tc>
        <w:tc>
          <w:tcPr>
            <w:tcW w:w="2694" w:type="dxa"/>
          </w:tcPr>
          <w:p>
            <w:pPr>
              <w:pStyle w:val="11"/>
              <w:overflowPunct w:val="0"/>
              <w:ind w:firstLine="2160"/>
              <w:jc w:val="center"/>
              <w:rPr>
                <w:rFonts w:ascii="宋体" w:hAnsi="宋体" w:eastAsia="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02" w:hRule="atLeast"/>
          <w:jc w:val="center"/>
        </w:trPr>
        <w:tc>
          <w:tcPr>
            <w:tcW w:w="2552" w:type="dxa"/>
            <w:vAlign w:val="center"/>
          </w:tcPr>
          <w:p>
            <w:pPr>
              <w:pStyle w:val="11"/>
              <w:overflowPunct w:val="0"/>
              <w:ind w:firstLine="0"/>
              <w:jc w:val="center"/>
              <w:rPr>
                <w:rFonts w:ascii="宋体" w:hAnsi="宋体" w:eastAsia="宋体"/>
                <w:sz w:val="21"/>
                <w:szCs w:val="21"/>
              </w:rPr>
            </w:pPr>
            <w:r>
              <w:rPr>
                <w:rFonts w:ascii="宋体" w:hAnsi="宋体" w:eastAsia="宋体"/>
                <w:sz w:val="21"/>
                <w:szCs w:val="21"/>
              </w:rPr>
              <w:t>经营范围</w:t>
            </w:r>
          </w:p>
        </w:tc>
        <w:tc>
          <w:tcPr>
            <w:tcW w:w="6521" w:type="dxa"/>
            <w:gridSpan w:val="3"/>
          </w:tcPr>
          <w:p>
            <w:pPr>
              <w:pStyle w:val="11"/>
              <w:overflowPunct w:val="0"/>
              <w:ind w:firstLine="0"/>
              <w:jc w:val="center"/>
              <w:rPr>
                <w:rFonts w:ascii="宋体" w:hAnsi="宋体" w:eastAsia="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22" w:hRule="atLeast"/>
          <w:jc w:val="center"/>
        </w:trPr>
        <w:tc>
          <w:tcPr>
            <w:tcW w:w="2552" w:type="dxa"/>
            <w:vAlign w:val="center"/>
          </w:tcPr>
          <w:p>
            <w:pPr>
              <w:pStyle w:val="11"/>
              <w:overflowPunct w:val="0"/>
              <w:ind w:firstLine="0"/>
              <w:jc w:val="center"/>
              <w:rPr>
                <w:rFonts w:ascii="宋体" w:hAnsi="宋体" w:eastAsia="宋体"/>
                <w:sz w:val="21"/>
                <w:szCs w:val="21"/>
              </w:rPr>
            </w:pPr>
            <w:r>
              <w:rPr>
                <w:rFonts w:ascii="宋体" w:hAnsi="宋体" w:eastAsia="宋体"/>
                <w:sz w:val="21"/>
                <w:szCs w:val="21"/>
              </w:rPr>
              <w:t>企业资质等级</w:t>
            </w:r>
          </w:p>
        </w:tc>
        <w:tc>
          <w:tcPr>
            <w:tcW w:w="2268" w:type="dxa"/>
            <w:vAlign w:val="bottom"/>
          </w:tcPr>
          <w:p>
            <w:pPr>
              <w:pStyle w:val="11"/>
              <w:overflowPunct w:val="0"/>
              <w:ind w:firstLine="0"/>
              <w:jc w:val="center"/>
              <w:rPr>
                <w:rFonts w:ascii="宋体" w:hAnsi="宋体" w:eastAsia="宋体"/>
                <w:sz w:val="21"/>
                <w:szCs w:val="21"/>
              </w:rPr>
            </w:pPr>
          </w:p>
        </w:tc>
        <w:tc>
          <w:tcPr>
            <w:tcW w:w="1559" w:type="dxa"/>
            <w:vAlign w:val="center"/>
          </w:tcPr>
          <w:p>
            <w:pPr>
              <w:pStyle w:val="11"/>
              <w:overflowPunct w:val="0"/>
              <w:ind w:firstLine="0"/>
              <w:jc w:val="center"/>
              <w:rPr>
                <w:rFonts w:ascii="宋体" w:hAnsi="宋体" w:eastAsia="宋体"/>
                <w:sz w:val="21"/>
                <w:szCs w:val="21"/>
              </w:rPr>
            </w:pPr>
            <w:r>
              <w:rPr>
                <w:rFonts w:ascii="宋体" w:hAnsi="宋体" w:eastAsia="宋体"/>
                <w:sz w:val="21"/>
                <w:szCs w:val="21"/>
              </w:rPr>
              <w:t>员工总人数</w:t>
            </w:r>
          </w:p>
        </w:tc>
        <w:tc>
          <w:tcPr>
            <w:tcW w:w="2694" w:type="dxa"/>
            <w:vAlign w:val="bottom"/>
          </w:tcPr>
          <w:p>
            <w:pPr>
              <w:pStyle w:val="11"/>
              <w:overflowPunct w:val="0"/>
              <w:ind w:firstLine="0"/>
              <w:jc w:val="center"/>
              <w:rPr>
                <w:rFonts w:ascii="宋体" w:hAnsi="宋体" w:eastAsia="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70" w:hRule="atLeast"/>
          <w:jc w:val="center"/>
        </w:trPr>
        <w:tc>
          <w:tcPr>
            <w:tcW w:w="2552" w:type="dxa"/>
            <w:vAlign w:val="center"/>
          </w:tcPr>
          <w:p>
            <w:pPr>
              <w:pStyle w:val="11"/>
              <w:overflowPunct w:val="0"/>
              <w:ind w:firstLine="0"/>
              <w:jc w:val="center"/>
              <w:rPr>
                <w:rFonts w:ascii="宋体" w:hAnsi="宋体" w:eastAsia="宋体"/>
                <w:sz w:val="21"/>
                <w:szCs w:val="21"/>
              </w:rPr>
            </w:pPr>
            <w:r>
              <w:rPr>
                <w:rFonts w:ascii="宋体" w:hAnsi="宋体" w:eastAsia="宋体"/>
                <w:sz w:val="21"/>
                <w:szCs w:val="21"/>
              </w:rPr>
              <w:t>资产总计</w:t>
            </w:r>
          </w:p>
        </w:tc>
        <w:tc>
          <w:tcPr>
            <w:tcW w:w="2268" w:type="dxa"/>
            <w:vAlign w:val="bottom"/>
          </w:tcPr>
          <w:p>
            <w:pPr>
              <w:pStyle w:val="11"/>
              <w:overflowPunct w:val="0"/>
              <w:ind w:firstLine="0"/>
              <w:jc w:val="center"/>
              <w:rPr>
                <w:rFonts w:ascii="宋体" w:hAnsi="宋体" w:eastAsia="宋体"/>
                <w:sz w:val="21"/>
                <w:szCs w:val="21"/>
              </w:rPr>
            </w:pPr>
            <w:r>
              <w:rPr>
                <w:rFonts w:ascii="宋体" w:hAnsi="宋体" w:eastAsia="宋体"/>
                <w:sz w:val="21"/>
                <w:szCs w:val="21"/>
              </w:rPr>
              <w:t>万元</w:t>
            </w:r>
          </w:p>
        </w:tc>
        <w:tc>
          <w:tcPr>
            <w:tcW w:w="1559" w:type="dxa"/>
            <w:vAlign w:val="center"/>
          </w:tcPr>
          <w:p>
            <w:pPr>
              <w:pStyle w:val="11"/>
              <w:overflowPunct w:val="0"/>
              <w:ind w:firstLine="0"/>
              <w:jc w:val="center"/>
              <w:rPr>
                <w:rFonts w:ascii="宋体" w:hAnsi="宋体" w:eastAsia="宋体"/>
                <w:sz w:val="21"/>
                <w:szCs w:val="21"/>
              </w:rPr>
            </w:pPr>
            <w:r>
              <w:rPr>
                <w:rFonts w:ascii="宋体" w:hAnsi="宋体" w:eastAsia="宋体"/>
                <w:sz w:val="21"/>
                <w:szCs w:val="21"/>
              </w:rPr>
              <w:t>营业收入</w:t>
            </w:r>
          </w:p>
        </w:tc>
        <w:tc>
          <w:tcPr>
            <w:tcW w:w="2694" w:type="dxa"/>
            <w:vAlign w:val="bottom"/>
          </w:tcPr>
          <w:p>
            <w:pPr>
              <w:pStyle w:val="11"/>
              <w:overflowPunct w:val="0"/>
              <w:ind w:firstLine="0"/>
              <w:jc w:val="center"/>
              <w:rPr>
                <w:rFonts w:ascii="宋体" w:hAnsi="宋体" w:eastAsia="宋体"/>
                <w:sz w:val="21"/>
                <w:szCs w:val="21"/>
              </w:rPr>
            </w:pPr>
            <w:r>
              <w:rPr>
                <w:rFonts w:ascii="宋体" w:hAnsi="宋体" w:eastAsia="宋体"/>
                <w:sz w:val="21"/>
                <w:szCs w:val="21"/>
              </w:rPr>
              <w:t xml:space="preserve">年   </w:t>
            </w:r>
            <w:r>
              <w:rPr>
                <w:rFonts w:ascii="宋体" w:hAnsi="宋体" w:eastAsia="宋体"/>
                <w:sz w:val="21"/>
                <w:szCs w:val="21"/>
                <w:u w:val="single"/>
              </w:rPr>
              <w:t xml:space="preserve">       </w:t>
            </w:r>
            <w:r>
              <w:rPr>
                <w:rFonts w:ascii="宋体" w:hAnsi="宋体" w:eastAsia="宋体"/>
                <w:sz w:val="21"/>
                <w:szCs w:val="21"/>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2552" w:type="dxa"/>
            <w:vAlign w:val="center"/>
          </w:tcPr>
          <w:p>
            <w:pPr>
              <w:pStyle w:val="11"/>
              <w:overflowPunct w:val="0"/>
              <w:ind w:firstLine="0"/>
              <w:jc w:val="center"/>
              <w:rPr>
                <w:rFonts w:ascii="宋体" w:hAnsi="宋体" w:eastAsia="宋体"/>
                <w:sz w:val="21"/>
                <w:szCs w:val="21"/>
              </w:rPr>
            </w:pPr>
            <w:r>
              <w:rPr>
                <w:rFonts w:ascii="宋体" w:hAnsi="宋体" w:eastAsia="宋体"/>
                <w:sz w:val="21"/>
                <w:szCs w:val="21"/>
              </w:rPr>
              <w:t>实现利润</w:t>
            </w:r>
          </w:p>
        </w:tc>
        <w:tc>
          <w:tcPr>
            <w:tcW w:w="2268" w:type="dxa"/>
            <w:vAlign w:val="bottom"/>
          </w:tcPr>
          <w:p>
            <w:pPr>
              <w:pStyle w:val="11"/>
              <w:overflowPunct w:val="0"/>
              <w:ind w:firstLine="0"/>
              <w:jc w:val="center"/>
              <w:rPr>
                <w:rFonts w:ascii="宋体" w:hAnsi="宋体" w:eastAsia="宋体"/>
                <w:sz w:val="21"/>
                <w:szCs w:val="21"/>
              </w:rPr>
            </w:pPr>
            <w:r>
              <w:rPr>
                <w:rFonts w:ascii="宋体" w:hAnsi="宋体" w:eastAsia="宋体"/>
                <w:sz w:val="21"/>
                <w:szCs w:val="21"/>
              </w:rPr>
              <w:t>年</w:t>
            </w:r>
            <w:r>
              <w:rPr>
                <w:rFonts w:ascii="宋体" w:hAnsi="宋体" w:eastAsia="宋体"/>
                <w:sz w:val="21"/>
                <w:szCs w:val="21"/>
                <w:u w:val="single"/>
              </w:rPr>
              <w:t xml:space="preserve">   </w:t>
            </w:r>
            <w:r>
              <w:rPr>
                <w:rFonts w:ascii="宋体" w:hAnsi="宋体" w:eastAsia="宋体"/>
                <w:sz w:val="21"/>
                <w:szCs w:val="21"/>
              </w:rPr>
              <w:t>万元</w:t>
            </w:r>
          </w:p>
        </w:tc>
        <w:tc>
          <w:tcPr>
            <w:tcW w:w="1559" w:type="dxa"/>
          </w:tcPr>
          <w:p>
            <w:pPr>
              <w:pStyle w:val="11"/>
              <w:overflowPunct w:val="0"/>
              <w:ind w:firstLine="0"/>
              <w:jc w:val="center"/>
              <w:rPr>
                <w:rFonts w:ascii="宋体" w:hAnsi="宋体" w:eastAsia="宋体"/>
                <w:sz w:val="21"/>
                <w:szCs w:val="21"/>
              </w:rPr>
            </w:pPr>
            <w:r>
              <w:rPr>
                <w:rFonts w:ascii="宋体" w:hAnsi="宋体" w:eastAsia="宋体"/>
                <w:sz w:val="21"/>
                <w:szCs w:val="21"/>
              </w:rPr>
              <w:t>营业面积（含厂房面积）</w:t>
            </w:r>
          </w:p>
        </w:tc>
        <w:tc>
          <w:tcPr>
            <w:tcW w:w="2694" w:type="dxa"/>
            <w:vAlign w:val="bottom"/>
          </w:tcPr>
          <w:p>
            <w:pPr>
              <w:pStyle w:val="11"/>
              <w:overflowPunct w:val="0"/>
              <w:ind w:firstLine="0"/>
              <w:jc w:val="center"/>
              <w:rPr>
                <w:rFonts w:ascii="宋体" w:hAnsi="宋体" w:eastAsia="宋体"/>
                <w:sz w:val="21"/>
                <w:szCs w:val="21"/>
              </w:rPr>
            </w:pPr>
            <w:r>
              <w:rPr>
                <w:rFonts w:ascii="宋体" w:hAnsi="宋体" w:eastAsia="宋体"/>
                <w:sz w:val="21"/>
                <w:szCs w:val="21"/>
              </w:rPr>
              <w:t>平方米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2552" w:type="dxa"/>
            <w:vAlign w:val="center"/>
          </w:tcPr>
          <w:p>
            <w:pPr>
              <w:pStyle w:val="11"/>
              <w:overflowPunct w:val="0"/>
              <w:ind w:firstLine="0"/>
              <w:jc w:val="center"/>
              <w:rPr>
                <w:rFonts w:ascii="宋体" w:hAnsi="宋体" w:eastAsia="宋体"/>
                <w:sz w:val="21"/>
                <w:szCs w:val="21"/>
              </w:rPr>
            </w:pPr>
            <w:r>
              <w:rPr>
                <w:rFonts w:ascii="宋体" w:hAnsi="宋体" w:eastAsia="宋体"/>
                <w:sz w:val="21"/>
                <w:szCs w:val="21"/>
              </w:rPr>
              <w:t>单位简历及内设机构情况</w:t>
            </w:r>
          </w:p>
        </w:tc>
        <w:tc>
          <w:tcPr>
            <w:tcW w:w="6521" w:type="dxa"/>
            <w:gridSpan w:val="3"/>
          </w:tcPr>
          <w:p>
            <w:pPr>
              <w:pStyle w:val="11"/>
              <w:overflowPunct w:val="0"/>
              <w:ind w:firstLine="0"/>
              <w:jc w:val="center"/>
              <w:rPr>
                <w:rFonts w:ascii="宋体" w:hAnsi="宋体" w:eastAsia="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8" w:hRule="atLeast"/>
          <w:jc w:val="center"/>
        </w:trPr>
        <w:tc>
          <w:tcPr>
            <w:tcW w:w="2552" w:type="dxa"/>
            <w:vAlign w:val="center"/>
          </w:tcPr>
          <w:p>
            <w:pPr>
              <w:pStyle w:val="11"/>
              <w:overflowPunct w:val="0"/>
              <w:ind w:firstLine="0"/>
              <w:jc w:val="center"/>
              <w:rPr>
                <w:rFonts w:ascii="宋体" w:hAnsi="宋体" w:eastAsia="宋体"/>
                <w:sz w:val="21"/>
                <w:szCs w:val="21"/>
              </w:rPr>
            </w:pPr>
            <w:r>
              <w:rPr>
                <w:rFonts w:ascii="宋体" w:hAnsi="宋体" w:eastAsia="宋体"/>
                <w:sz w:val="21"/>
                <w:szCs w:val="21"/>
              </w:rPr>
              <w:t>单位优势及特长</w:t>
            </w:r>
          </w:p>
        </w:tc>
        <w:tc>
          <w:tcPr>
            <w:tcW w:w="6521" w:type="dxa"/>
            <w:gridSpan w:val="3"/>
          </w:tcPr>
          <w:p>
            <w:pPr>
              <w:pStyle w:val="11"/>
              <w:overflowPunct w:val="0"/>
              <w:ind w:firstLine="0"/>
              <w:jc w:val="center"/>
              <w:rPr>
                <w:rFonts w:ascii="宋体" w:hAnsi="宋体" w:eastAsia="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81" w:hRule="atLeast"/>
          <w:jc w:val="center"/>
        </w:trPr>
        <w:tc>
          <w:tcPr>
            <w:tcW w:w="2552" w:type="dxa"/>
            <w:vAlign w:val="center"/>
          </w:tcPr>
          <w:p>
            <w:pPr>
              <w:pStyle w:val="11"/>
              <w:overflowPunct w:val="0"/>
              <w:ind w:firstLine="0"/>
              <w:jc w:val="center"/>
              <w:rPr>
                <w:rFonts w:ascii="宋体" w:hAnsi="宋体" w:eastAsia="宋体"/>
                <w:kern w:val="0"/>
                <w:sz w:val="21"/>
                <w:szCs w:val="21"/>
              </w:rPr>
            </w:pPr>
            <w:r>
              <w:rPr>
                <w:rFonts w:ascii="宋体" w:hAnsi="宋体" w:eastAsia="宋体"/>
                <w:kern w:val="0"/>
                <w:sz w:val="21"/>
                <w:szCs w:val="21"/>
              </w:rPr>
              <w:t>商业信誉和健全的财务会计制度介绍</w:t>
            </w:r>
          </w:p>
        </w:tc>
        <w:tc>
          <w:tcPr>
            <w:tcW w:w="6521" w:type="dxa"/>
            <w:gridSpan w:val="3"/>
          </w:tcPr>
          <w:p>
            <w:pPr>
              <w:pStyle w:val="11"/>
              <w:overflowPunct w:val="0"/>
              <w:ind w:firstLine="0"/>
              <w:jc w:val="center"/>
              <w:rPr>
                <w:rFonts w:ascii="宋体" w:hAnsi="宋体" w:eastAsia="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51" w:hRule="atLeast"/>
          <w:jc w:val="center"/>
        </w:trPr>
        <w:tc>
          <w:tcPr>
            <w:tcW w:w="2552" w:type="dxa"/>
            <w:vAlign w:val="center"/>
          </w:tcPr>
          <w:p>
            <w:pPr>
              <w:pStyle w:val="11"/>
              <w:overflowPunct w:val="0"/>
              <w:ind w:firstLine="0"/>
              <w:jc w:val="center"/>
              <w:rPr>
                <w:rFonts w:ascii="宋体" w:hAnsi="宋体" w:eastAsia="宋体"/>
                <w:sz w:val="21"/>
                <w:szCs w:val="21"/>
              </w:rPr>
            </w:pPr>
            <w:r>
              <w:rPr>
                <w:rFonts w:ascii="宋体" w:hAnsi="宋体" w:eastAsia="宋体"/>
                <w:kern w:val="0"/>
                <w:sz w:val="21"/>
                <w:szCs w:val="21"/>
              </w:rPr>
              <w:t>履行合同所必需的设备和专业技术能力情况</w:t>
            </w:r>
          </w:p>
        </w:tc>
        <w:tc>
          <w:tcPr>
            <w:tcW w:w="6521" w:type="dxa"/>
            <w:gridSpan w:val="3"/>
          </w:tcPr>
          <w:p>
            <w:pPr>
              <w:pStyle w:val="11"/>
              <w:overflowPunct w:val="0"/>
              <w:ind w:firstLine="0"/>
              <w:jc w:val="center"/>
              <w:rPr>
                <w:rFonts w:ascii="宋体" w:hAnsi="宋体" w:eastAsia="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48" w:hRule="atLeast"/>
          <w:jc w:val="center"/>
        </w:trPr>
        <w:tc>
          <w:tcPr>
            <w:tcW w:w="2552" w:type="dxa"/>
            <w:vAlign w:val="center"/>
          </w:tcPr>
          <w:p>
            <w:pPr>
              <w:pStyle w:val="11"/>
              <w:overflowPunct w:val="0"/>
              <w:ind w:firstLine="0"/>
              <w:jc w:val="center"/>
              <w:rPr>
                <w:rFonts w:ascii="宋体" w:hAnsi="宋体" w:eastAsia="宋体"/>
                <w:sz w:val="21"/>
                <w:szCs w:val="21"/>
              </w:rPr>
            </w:pPr>
            <w:r>
              <w:rPr>
                <w:rFonts w:ascii="宋体" w:hAnsi="宋体" w:eastAsia="宋体"/>
                <w:kern w:val="0"/>
                <w:sz w:val="21"/>
                <w:szCs w:val="21"/>
              </w:rPr>
              <w:t>依法缴纳税收和社会保障资金情况</w:t>
            </w:r>
          </w:p>
        </w:tc>
        <w:tc>
          <w:tcPr>
            <w:tcW w:w="6521" w:type="dxa"/>
            <w:gridSpan w:val="3"/>
          </w:tcPr>
          <w:p>
            <w:pPr>
              <w:pStyle w:val="11"/>
              <w:overflowPunct w:val="0"/>
              <w:ind w:firstLine="0"/>
              <w:jc w:val="center"/>
              <w:rPr>
                <w:rFonts w:ascii="宋体" w:hAnsi="宋体" w:eastAsia="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64" w:hRule="atLeast"/>
          <w:jc w:val="center"/>
        </w:trPr>
        <w:tc>
          <w:tcPr>
            <w:tcW w:w="2552" w:type="dxa"/>
            <w:vAlign w:val="center"/>
          </w:tcPr>
          <w:p>
            <w:pPr>
              <w:pStyle w:val="11"/>
              <w:overflowPunct w:val="0"/>
              <w:ind w:firstLine="0"/>
              <w:jc w:val="center"/>
              <w:rPr>
                <w:rFonts w:ascii="宋体" w:hAnsi="宋体" w:eastAsia="宋体"/>
                <w:sz w:val="21"/>
                <w:szCs w:val="21"/>
              </w:rPr>
            </w:pPr>
            <w:r>
              <w:rPr>
                <w:rFonts w:ascii="宋体" w:hAnsi="宋体" w:eastAsia="宋体"/>
                <w:sz w:val="21"/>
                <w:szCs w:val="21"/>
              </w:rPr>
              <w:t>参加政府采购活动前三年内，在经营活动中有无重大违法记录</w:t>
            </w:r>
          </w:p>
        </w:tc>
        <w:tc>
          <w:tcPr>
            <w:tcW w:w="6521" w:type="dxa"/>
            <w:gridSpan w:val="3"/>
          </w:tcPr>
          <w:p>
            <w:pPr>
              <w:pStyle w:val="11"/>
              <w:overflowPunct w:val="0"/>
              <w:ind w:firstLine="0"/>
              <w:jc w:val="center"/>
              <w:rPr>
                <w:rFonts w:ascii="宋体" w:hAnsi="宋体" w:eastAsia="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0" w:hRule="atLeast"/>
          <w:jc w:val="center"/>
        </w:trPr>
        <w:tc>
          <w:tcPr>
            <w:tcW w:w="2552" w:type="dxa"/>
            <w:vAlign w:val="center"/>
          </w:tcPr>
          <w:p>
            <w:pPr>
              <w:pStyle w:val="11"/>
              <w:overflowPunct w:val="0"/>
              <w:ind w:firstLine="0"/>
              <w:jc w:val="center"/>
              <w:rPr>
                <w:rFonts w:ascii="宋体" w:hAnsi="宋体" w:eastAsia="宋体"/>
                <w:sz w:val="21"/>
                <w:szCs w:val="21"/>
              </w:rPr>
            </w:pPr>
            <w:r>
              <w:rPr>
                <w:rFonts w:ascii="宋体" w:hAnsi="宋体" w:eastAsia="宋体"/>
                <w:sz w:val="21"/>
                <w:szCs w:val="21"/>
              </w:rPr>
              <w:t>其他需要说明的情况</w:t>
            </w:r>
          </w:p>
        </w:tc>
        <w:tc>
          <w:tcPr>
            <w:tcW w:w="6521" w:type="dxa"/>
            <w:gridSpan w:val="3"/>
          </w:tcPr>
          <w:p>
            <w:pPr>
              <w:pStyle w:val="11"/>
              <w:overflowPunct w:val="0"/>
              <w:ind w:firstLine="0"/>
              <w:jc w:val="center"/>
              <w:rPr>
                <w:rFonts w:ascii="宋体" w:hAnsi="宋体" w:eastAsia="宋体"/>
                <w:sz w:val="21"/>
                <w:szCs w:val="21"/>
              </w:rPr>
            </w:pPr>
          </w:p>
        </w:tc>
      </w:tr>
    </w:tbl>
    <w:p>
      <w:pPr>
        <w:rPr>
          <w:rFonts w:ascii="宋体" w:hAnsi="宋体"/>
          <w:szCs w:val="21"/>
        </w:rPr>
      </w:pPr>
      <w:r>
        <w:rPr>
          <w:rFonts w:ascii="宋体" w:hAnsi="宋体"/>
          <w:szCs w:val="21"/>
        </w:rPr>
        <w:br w:type="page"/>
      </w:r>
      <w:r>
        <w:rPr>
          <w:rFonts w:hint="eastAsia" w:ascii="宋体" w:hAnsi="宋体"/>
          <w:szCs w:val="21"/>
        </w:rPr>
        <w:t>（3）中小企业声明函</w:t>
      </w:r>
    </w:p>
    <w:p>
      <w:pPr>
        <w:autoSpaceDE w:val="0"/>
        <w:autoSpaceDN w:val="0"/>
        <w:adjustRightInd w:val="0"/>
        <w:spacing w:line="400" w:lineRule="exact"/>
        <w:jc w:val="center"/>
        <w:rPr>
          <w:rFonts w:ascii="宋体" w:hAnsi="宋体" w:cs="宋体"/>
          <w:szCs w:val="21"/>
          <w:lang w:val="zh-CN"/>
        </w:rPr>
      </w:pPr>
      <w:r>
        <w:rPr>
          <w:rFonts w:hint="eastAsia" w:ascii="宋体" w:hAnsi="宋体" w:cs="宋体"/>
          <w:szCs w:val="21"/>
          <w:lang w:val="zh-CN"/>
        </w:rPr>
        <w:t>中小企业声明函</w:t>
      </w:r>
    </w:p>
    <w:p>
      <w:pPr>
        <w:pStyle w:val="48"/>
        <w:spacing w:line="400" w:lineRule="exact"/>
        <w:rPr>
          <w:rFonts w:hAnsi="宋体" w:eastAsia="宋体" w:cs="宋体"/>
          <w:sz w:val="21"/>
          <w:szCs w:val="21"/>
          <w:lang w:val="zh-CN"/>
        </w:rPr>
      </w:pPr>
      <w:r>
        <w:rPr>
          <w:rFonts w:hAnsi="宋体" w:eastAsia="宋体" w:cs="宋体"/>
          <w:sz w:val="21"/>
          <w:szCs w:val="21"/>
          <w:lang w:val="zh-CN"/>
        </w:rPr>
        <w:t>______________________：</w:t>
      </w:r>
    </w:p>
    <w:p>
      <w:pPr>
        <w:pStyle w:val="48"/>
        <w:spacing w:line="400" w:lineRule="exact"/>
        <w:ind w:firstLine="1575" w:firstLineChars="750"/>
        <w:rPr>
          <w:rFonts w:hAnsi="宋体" w:eastAsia="宋体" w:cs="宋体"/>
          <w:sz w:val="21"/>
          <w:szCs w:val="21"/>
          <w:lang w:val="zh-CN"/>
        </w:rPr>
      </w:pPr>
    </w:p>
    <w:p>
      <w:pPr>
        <w:autoSpaceDE w:val="0"/>
        <w:autoSpaceDN w:val="0"/>
        <w:adjustRightInd w:val="0"/>
        <w:spacing w:line="360" w:lineRule="auto"/>
        <w:ind w:firstLine="630" w:firstLineChars="300"/>
        <w:rPr>
          <w:rFonts w:ascii="宋体" w:hAnsi="宋体" w:cs="宋体"/>
          <w:szCs w:val="21"/>
          <w:lang w:val="zh-CN"/>
        </w:rPr>
      </w:pPr>
      <w:r>
        <w:rPr>
          <w:rFonts w:hint="eastAsia" w:ascii="宋体" w:hAnsi="宋体" w:cs="宋体"/>
          <w:szCs w:val="21"/>
          <w:lang w:val="zh-CN"/>
        </w:rPr>
        <w:t>本公司郑重声明，根据《政府采购促进中小企业发展暂行办法》（财库[2011]181号）的规定，本公司为</w:t>
      </w:r>
      <w:bookmarkStart w:id="7" w:name="OLE_LINK5"/>
      <w:bookmarkStart w:id="8" w:name="OLE_LINK2"/>
      <w:r>
        <w:rPr>
          <w:rFonts w:hint="eastAsia" w:ascii="宋体" w:hAnsi="宋体" w:cs="宋体"/>
          <w:szCs w:val="21"/>
          <w:lang w:val="zh-CN"/>
        </w:rPr>
        <w:t>______（请填写：中型、小型、微型）企业</w:t>
      </w:r>
      <w:bookmarkEnd w:id="7"/>
      <w:bookmarkEnd w:id="8"/>
      <w:r>
        <w:rPr>
          <w:rFonts w:hint="eastAsia" w:ascii="宋体" w:hAnsi="宋体" w:cs="宋体"/>
          <w:szCs w:val="21"/>
          <w:lang w:val="zh-CN"/>
        </w:rPr>
        <w:t>。即，本公司同时满足以下条件：</w:t>
      </w:r>
    </w:p>
    <w:p>
      <w:pPr>
        <w:autoSpaceDE w:val="0"/>
        <w:autoSpaceDN w:val="0"/>
        <w:adjustRightInd w:val="0"/>
        <w:spacing w:line="360" w:lineRule="auto"/>
        <w:ind w:firstLine="420" w:firstLineChars="200"/>
        <w:rPr>
          <w:rFonts w:ascii="宋体" w:hAnsi="宋体" w:cs="宋体"/>
          <w:szCs w:val="21"/>
          <w:lang w:val="zh-CN"/>
        </w:rPr>
      </w:pPr>
      <w:r>
        <w:rPr>
          <w:rFonts w:hint="eastAsia" w:ascii="宋体" w:hAnsi="宋体" w:cs="宋体"/>
          <w:szCs w:val="21"/>
          <w:lang w:val="zh-CN"/>
        </w:rPr>
        <w:t>1、根据《工业和信息化部、国家统计局、国家发展和改革委员会、财政部关于印发中小企业划型标准规定的通知》（工信部联企业[2011]300号）规定的划分标准，本公司为______（请填写：中型、小型、微型）企业。</w:t>
      </w:r>
    </w:p>
    <w:p>
      <w:pPr>
        <w:autoSpaceDE w:val="0"/>
        <w:autoSpaceDN w:val="0"/>
        <w:adjustRightInd w:val="0"/>
        <w:spacing w:line="360" w:lineRule="auto"/>
        <w:ind w:firstLine="420" w:firstLineChars="200"/>
        <w:rPr>
          <w:rFonts w:ascii="宋体" w:hAnsi="宋体" w:cs="宋体"/>
          <w:szCs w:val="21"/>
          <w:lang w:val="zh-CN"/>
        </w:rPr>
      </w:pPr>
      <w:r>
        <w:rPr>
          <w:rFonts w:hint="eastAsia" w:ascii="宋体" w:hAnsi="宋体" w:cs="宋体"/>
          <w:szCs w:val="21"/>
          <w:lang w:val="zh-CN"/>
        </w:rPr>
        <w:t>2、本公司参加</w:t>
      </w:r>
      <w:r>
        <w:rPr>
          <w:rFonts w:hint="eastAsia" w:ascii="宋体" w:hAnsi="宋体" w:cs="宋体"/>
          <w:szCs w:val="21"/>
          <w:u w:val="single"/>
          <w:lang w:val="zh-CN"/>
        </w:rPr>
        <w:t>（采购单位名称）</w:t>
      </w:r>
      <w:r>
        <w:rPr>
          <w:rFonts w:hint="eastAsia" w:ascii="宋体" w:hAnsi="宋体" w:cs="宋体"/>
          <w:szCs w:val="21"/>
          <w:lang w:val="zh-CN"/>
        </w:rPr>
        <w:t>单位的</w:t>
      </w:r>
      <w:r>
        <w:rPr>
          <w:rFonts w:hint="eastAsia" w:ascii="宋体" w:hAnsi="宋体" w:cs="宋体"/>
          <w:szCs w:val="21"/>
          <w:u w:val="single"/>
          <w:lang w:val="zh-CN"/>
        </w:rPr>
        <w:t>（采购编号及项目名称）</w:t>
      </w:r>
      <w:r>
        <w:rPr>
          <w:rFonts w:hint="eastAsia" w:ascii="宋体" w:hAnsi="宋体" w:cs="宋体"/>
          <w:szCs w:val="21"/>
          <w:lang w:val="zh-CN"/>
        </w:rPr>
        <w:t>项目采购活动：</w:t>
      </w:r>
    </w:p>
    <w:p>
      <w:pPr>
        <w:autoSpaceDE w:val="0"/>
        <w:autoSpaceDN w:val="0"/>
        <w:adjustRightInd w:val="0"/>
        <w:spacing w:line="360" w:lineRule="auto"/>
        <w:ind w:firstLine="420" w:firstLineChars="200"/>
        <w:rPr>
          <w:rFonts w:ascii="宋体" w:hAnsi="宋体" w:cs="宋体"/>
          <w:szCs w:val="21"/>
          <w:lang w:val="zh-CN"/>
        </w:rPr>
      </w:pPr>
      <w:r>
        <w:rPr>
          <w:rFonts w:hint="eastAsia" w:ascii="宋体" w:hAnsi="宋体" w:cs="宋体"/>
          <w:szCs w:val="21"/>
          <w:lang w:val="zh-CN"/>
        </w:rPr>
        <w:t>A、提供本企业制造的货物，由本企业承担工程、提供服务；</w:t>
      </w:r>
    </w:p>
    <w:p>
      <w:pPr>
        <w:autoSpaceDE w:val="0"/>
        <w:autoSpaceDN w:val="0"/>
        <w:adjustRightInd w:val="0"/>
        <w:spacing w:line="360" w:lineRule="auto"/>
        <w:ind w:firstLine="420" w:firstLineChars="200"/>
        <w:rPr>
          <w:rFonts w:ascii="宋体" w:hAnsi="宋体" w:cs="宋体"/>
          <w:szCs w:val="21"/>
          <w:lang w:val="zh-CN"/>
        </w:rPr>
      </w:pPr>
      <w:r>
        <w:rPr>
          <w:rFonts w:hint="eastAsia" w:ascii="宋体" w:hAnsi="宋体" w:cs="宋体"/>
          <w:szCs w:val="21"/>
          <w:lang w:val="zh-CN"/>
        </w:rPr>
        <w:t>B、提供其他______（请填写：中型、小型、微型）企业制造的货物。本条所称货物不包括使用大型企业注册商标的货物。（请在上述A、B项中进行选择打勾）</w:t>
      </w:r>
    </w:p>
    <w:p>
      <w:pPr>
        <w:autoSpaceDE w:val="0"/>
        <w:autoSpaceDN w:val="0"/>
        <w:adjustRightInd w:val="0"/>
        <w:spacing w:line="360" w:lineRule="auto"/>
        <w:rPr>
          <w:rFonts w:ascii="宋体" w:hAnsi="宋体" w:cs="宋体"/>
          <w:szCs w:val="21"/>
          <w:lang w:val="zh-CN"/>
        </w:rPr>
      </w:pPr>
    </w:p>
    <w:p>
      <w:pPr>
        <w:autoSpaceDE w:val="0"/>
        <w:autoSpaceDN w:val="0"/>
        <w:adjustRightInd w:val="0"/>
        <w:spacing w:line="360" w:lineRule="auto"/>
        <w:ind w:firstLine="525" w:firstLineChars="250"/>
        <w:rPr>
          <w:rFonts w:ascii="宋体" w:hAnsi="宋体" w:cs="宋体"/>
          <w:szCs w:val="21"/>
          <w:lang w:val="zh-CN"/>
        </w:rPr>
      </w:pPr>
      <w:r>
        <w:rPr>
          <w:rFonts w:hint="eastAsia" w:ascii="宋体" w:hAnsi="宋体" w:cs="宋体"/>
          <w:szCs w:val="21"/>
          <w:lang w:val="zh-CN"/>
        </w:rPr>
        <w:t>本公司对上述声明的真实性负责。如有虚假，将依法承担相应责任。</w:t>
      </w:r>
    </w:p>
    <w:p>
      <w:pPr>
        <w:autoSpaceDE w:val="0"/>
        <w:autoSpaceDN w:val="0"/>
        <w:adjustRightInd w:val="0"/>
        <w:spacing w:line="360" w:lineRule="auto"/>
        <w:rPr>
          <w:rFonts w:ascii="宋体" w:hAnsi="宋体" w:cs="宋体"/>
          <w:szCs w:val="21"/>
          <w:lang w:val="zh-CN"/>
        </w:rPr>
      </w:pPr>
    </w:p>
    <w:p>
      <w:pPr>
        <w:pStyle w:val="48"/>
        <w:spacing w:line="360" w:lineRule="auto"/>
        <w:ind w:firstLine="420" w:firstLineChars="200"/>
        <w:rPr>
          <w:rFonts w:hAnsi="宋体" w:eastAsia="宋体"/>
          <w:sz w:val="21"/>
          <w:szCs w:val="21"/>
        </w:rPr>
      </w:pPr>
      <w:r>
        <w:rPr>
          <w:rFonts w:hAnsi="宋体" w:eastAsia="宋体"/>
          <w:sz w:val="21"/>
          <w:szCs w:val="21"/>
        </w:rPr>
        <w:t>企业名称：（盖章）</w:t>
      </w:r>
    </w:p>
    <w:p>
      <w:pPr>
        <w:spacing w:line="360" w:lineRule="auto"/>
        <w:ind w:firstLine="420" w:firstLineChars="200"/>
        <w:rPr>
          <w:rFonts w:ascii="宋体" w:hAnsi="宋体"/>
          <w:szCs w:val="21"/>
        </w:rPr>
      </w:pPr>
      <w:r>
        <w:rPr>
          <w:rFonts w:ascii="宋体" w:hAnsi="宋体"/>
          <w:szCs w:val="21"/>
        </w:rPr>
        <w:t>日期：         年         月       日</w:t>
      </w:r>
    </w:p>
    <w:p>
      <w:pPr>
        <w:spacing w:line="360" w:lineRule="auto"/>
        <w:rPr>
          <w:rFonts w:ascii="宋体" w:hAnsi="宋体"/>
          <w:szCs w:val="21"/>
        </w:rPr>
      </w:pPr>
    </w:p>
    <w:p>
      <w:pPr>
        <w:rPr>
          <w:rFonts w:ascii="Calibri" w:hAnsi="宋体"/>
          <w:b/>
          <w:szCs w:val="21"/>
        </w:rPr>
      </w:pPr>
      <w:r>
        <w:rPr>
          <w:rFonts w:hint="eastAsia" w:ascii="宋体" w:hAnsi="宋体"/>
        </w:rPr>
        <w:t>（4）</w:t>
      </w:r>
      <w:r>
        <w:rPr>
          <w:rFonts w:hint="eastAsia" w:ascii="Calibri" w:hAnsi="宋体"/>
          <w:b/>
          <w:szCs w:val="21"/>
        </w:rPr>
        <w:t>残疾人福利性单位声明函</w:t>
      </w:r>
    </w:p>
    <w:p>
      <w:pPr>
        <w:spacing w:line="480" w:lineRule="exact"/>
        <w:jc w:val="center"/>
        <w:rPr>
          <w:rFonts w:ascii="宋体" w:hAnsi="宋体"/>
          <w:spacing w:val="6"/>
          <w:sz w:val="44"/>
          <w:szCs w:val="32"/>
        </w:rPr>
      </w:pPr>
      <w:r>
        <w:rPr>
          <w:rFonts w:hint="eastAsia" w:ascii="宋体" w:hAnsi="宋体"/>
          <w:szCs w:val="21"/>
          <w:lang w:val="zh-CN"/>
        </w:rPr>
        <w:t>残疾人福利性单位声明函</w:t>
      </w:r>
    </w:p>
    <w:p>
      <w:pPr>
        <w:adjustRightInd w:val="0"/>
        <w:snapToGrid w:val="0"/>
        <w:spacing w:line="580" w:lineRule="exact"/>
        <w:ind w:firstLine="444" w:firstLineChars="200"/>
        <w:rPr>
          <w:rFonts w:ascii="宋体" w:hAnsi="宋体"/>
          <w:spacing w:val="6"/>
          <w:szCs w:val="21"/>
        </w:rPr>
      </w:pPr>
      <w:r>
        <w:rPr>
          <w:rFonts w:hint="eastAsia" w:ascii="宋体" w:hAnsi="宋体"/>
          <w:spacing w:val="6"/>
          <w:szCs w:val="21"/>
        </w:rPr>
        <w:t>本单位郑重声明，根据《财政部  民政部  中国残疾人联合会关于促进残疾人就业政府采购政策的通知》（财库</w:t>
      </w:r>
      <w:r>
        <w:rPr>
          <w:rFonts w:hint="eastAsia" w:ascii="宋体" w:hAnsi="宋体"/>
          <w:szCs w:val="21"/>
        </w:rPr>
        <w:t>〔2017〕141</w:t>
      </w:r>
      <w:r>
        <w:rPr>
          <w:rFonts w:hint="eastAsia" w:ascii="宋体" w:hAnsi="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580" w:lineRule="exact"/>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pPr>
        <w:tabs>
          <w:tab w:val="left" w:pos="4860"/>
        </w:tabs>
        <w:adjustRightInd w:val="0"/>
        <w:snapToGrid w:val="0"/>
        <w:spacing w:line="580" w:lineRule="exact"/>
        <w:ind w:right="1560" w:firstLine="444" w:firstLineChars="200"/>
        <w:jc w:val="center"/>
        <w:rPr>
          <w:rFonts w:ascii="宋体" w:hAnsi="宋体"/>
          <w:spacing w:val="6"/>
          <w:szCs w:val="21"/>
        </w:rPr>
      </w:pPr>
      <w:r>
        <w:rPr>
          <w:rFonts w:hint="eastAsia" w:ascii="宋体" w:hAnsi="宋体"/>
          <w:spacing w:val="6"/>
          <w:szCs w:val="21"/>
        </w:rPr>
        <w:t xml:space="preserve">                 单位名称（盖章）：</w:t>
      </w:r>
    </w:p>
    <w:p>
      <w:pPr>
        <w:spacing w:line="360" w:lineRule="auto"/>
        <w:rPr>
          <w:rFonts w:ascii="宋体" w:hAnsi="宋体"/>
        </w:rPr>
      </w:pPr>
      <w:r>
        <w:rPr>
          <w:rFonts w:hint="eastAsia" w:ascii="宋体" w:hAnsi="宋体"/>
          <w:spacing w:val="6"/>
          <w:szCs w:val="21"/>
        </w:rPr>
        <w:t xml:space="preserve">                                       日  期：</w:t>
      </w:r>
    </w:p>
    <w:p>
      <w:pPr>
        <w:rPr>
          <w:rFonts w:ascii="宋体" w:hAnsi="宋体"/>
        </w:rPr>
      </w:pPr>
    </w:p>
    <w:p>
      <w:pPr>
        <w:spacing w:line="480" w:lineRule="exact"/>
        <w:rPr>
          <w:b/>
          <w:bCs/>
          <w:szCs w:val="21"/>
        </w:rPr>
      </w:pPr>
      <w:r>
        <w:rPr>
          <w:b/>
          <w:bCs/>
          <w:szCs w:val="21"/>
        </w:rPr>
        <w:br w:type="page"/>
      </w:r>
      <w:r>
        <w:rPr>
          <w:b/>
          <w:bCs/>
          <w:szCs w:val="21"/>
        </w:rPr>
        <w:t>附件</w:t>
      </w:r>
      <w:r>
        <w:rPr>
          <w:rFonts w:hint="eastAsia"/>
          <w:b/>
          <w:bCs/>
          <w:szCs w:val="21"/>
        </w:rPr>
        <w:t>8投标（响应）保证承诺书</w:t>
      </w:r>
    </w:p>
    <w:p>
      <w:pPr>
        <w:spacing w:line="400" w:lineRule="exact"/>
        <w:jc w:val="center"/>
        <w:rPr>
          <w:b/>
          <w:szCs w:val="21"/>
        </w:rPr>
      </w:pPr>
      <w:r>
        <w:rPr>
          <w:rFonts w:hint="eastAsia"/>
          <w:b/>
          <w:szCs w:val="21"/>
        </w:rPr>
        <w:t>投标（响应）保证承诺书</w:t>
      </w:r>
    </w:p>
    <w:p>
      <w:pPr>
        <w:widowControl/>
        <w:spacing w:line="360" w:lineRule="auto"/>
        <w:jc w:val="left"/>
        <w:rPr>
          <w:rFonts w:cs="宋体"/>
          <w:kern w:val="0"/>
          <w:szCs w:val="21"/>
        </w:rPr>
      </w:pPr>
    </w:p>
    <w:p>
      <w:pPr>
        <w:widowControl/>
        <w:spacing w:line="520" w:lineRule="exact"/>
        <w:jc w:val="left"/>
        <w:rPr>
          <w:rFonts w:cs="宋体"/>
          <w:kern w:val="0"/>
          <w:szCs w:val="21"/>
        </w:rPr>
      </w:pPr>
      <w:r>
        <w:rPr>
          <w:rFonts w:hint="eastAsia" w:cs="宋体"/>
          <w:kern w:val="0"/>
          <w:szCs w:val="21"/>
        </w:rPr>
        <w:t>致：</w:t>
      </w:r>
      <w:r>
        <w:rPr>
          <w:rFonts w:hint="eastAsia" w:cs="宋体"/>
          <w:kern w:val="0"/>
          <w:szCs w:val="21"/>
          <w:u w:val="single"/>
        </w:rPr>
        <w:t>  </w:t>
      </w:r>
      <w:r>
        <w:rPr>
          <w:rFonts w:hint="eastAsia" w:cs="宋体"/>
          <w:kern w:val="0"/>
          <w:szCs w:val="21"/>
          <w:u w:val="single"/>
          <w:lang w:eastAsia="zh-CN"/>
        </w:rPr>
        <w:t>新沂市公共资源交易中心</w:t>
      </w:r>
    </w:p>
    <w:p>
      <w:pPr>
        <w:widowControl/>
        <w:spacing w:line="520" w:lineRule="exact"/>
        <w:ind w:firstLine="420" w:firstLineChars="200"/>
        <w:jc w:val="left"/>
        <w:rPr>
          <w:rFonts w:cs="宋体"/>
          <w:kern w:val="0"/>
          <w:szCs w:val="21"/>
        </w:rPr>
      </w:pPr>
      <w:r>
        <w:rPr>
          <w:rFonts w:hint="eastAsia" w:cs="宋体"/>
          <w:kern w:val="0"/>
          <w:szCs w:val="21"/>
        </w:rPr>
        <w:t>我（单位/本人，以下统称我单位）自愿参加</w:t>
      </w:r>
      <w:r>
        <w:rPr>
          <w:rFonts w:hint="eastAsia" w:cs="宋体"/>
          <w:kern w:val="0"/>
          <w:szCs w:val="21"/>
          <w:u w:val="single"/>
        </w:rPr>
        <w:t xml:space="preserve">              （项目名称和采购编号）</w:t>
      </w:r>
      <w:r>
        <w:rPr>
          <w:rFonts w:hint="eastAsia" w:cs="宋体"/>
          <w:kern w:val="0"/>
          <w:szCs w:val="21"/>
        </w:rPr>
        <w:t>的投标（响应）,并做出如下承诺：</w:t>
      </w:r>
    </w:p>
    <w:p>
      <w:pPr>
        <w:widowControl/>
        <w:numPr>
          <w:ilvl w:val="0"/>
          <w:numId w:val="8"/>
        </w:numPr>
        <w:tabs>
          <w:tab w:val="left" w:pos="426"/>
        </w:tabs>
        <w:spacing w:line="520" w:lineRule="exact"/>
        <w:ind w:left="431" w:hanging="431"/>
        <w:jc w:val="left"/>
        <w:rPr>
          <w:rFonts w:ascii="宋体" w:hAnsi="宋体" w:cs="宋体"/>
          <w:kern w:val="0"/>
          <w:szCs w:val="21"/>
        </w:rPr>
      </w:pPr>
      <w:r>
        <w:rPr>
          <w:rFonts w:hint="eastAsia" w:cs="宋体"/>
          <w:kern w:val="0"/>
          <w:szCs w:val="21"/>
        </w:rPr>
        <w:t>除不可抗力外，我单位如果发生以下行为，将在行为发生的10个工作日内，向贵方</w:t>
      </w:r>
      <w:r>
        <w:rPr>
          <w:rFonts w:hint="eastAsia" w:cs="宋体"/>
          <w:kern w:val="0"/>
          <w:szCs w:val="21"/>
          <w:u w:val="single"/>
        </w:rPr>
        <w:t>（或采购人）</w:t>
      </w:r>
      <w:r>
        <w:rPr>
          <w:rFonts w:hint="eastAsia" w:cs="宋体"/>
          <w:kern w:val="0"/>
          <w:szCs w:val="21"/>
        </w:rPr>
        <w:t>支付本采</w:t>
      </w:r>
      <w:r>
        <w:rPr>
          <w:rFonts w:hint="eastAsia" w:ascii="宋体" w:hAnsi="宋体" w:cs="宋体"/>
          <w:kern w:val="0"/>
          <w:szCs w:val="21"/>
        </w:rPr>
        <w:t>购文件公布的预算金额（或最高限价）的2%作为违约赔偿金（数量不确定的单价采购须约定具体金额）。</w:t>
      </w:r>
    </w:p>
    <w:p>
      <w:pPr>
        <w:widowControl/>
        <w:numPr>
          <w:ilvl w:val="0"/>
          <w:numId w:val="9"/>
        </w:numPr>
        <w:spacing w:line="520" w:lineRule="exact"/>
        <w:jc w:val="left"/>
        <w:rPr>
          <w:rFonts w:ascii="宋体" w:hAnsi="宋体" w:cs="宋体"/>
          <w:kern w:val="0"/>
          <w:szCs w:val="21"/>
        </w:rPr>
      </w:pPr>
      <w:r>
        <w:rPr>
          <w:rFonts w:hint="eastAsia" w:ascii="宋体" w:hAnsi="宋体" w:cs="宋体"/>
          <w:kern w:val="0"/>
          <w:szCs w:val="21"/>
        </w:rPr>
        <w:t>自投标（响应）截止时间至本项目发布中标（成交）公告为止，撤销投标（响应）；</w:t>
      </w:r>
    </w:p>
    <w:p>
      <w:pPr>
        <w:widowControl/>
        <w:numPr>
          <w:ilvl w:val="0"/>
          <w:numId w:val="9"/>
        </w:numPr>
        <w:spacing w:line="520" w:lineRule="exact"/>
        <w:jc w:val="left"/>
        <w:rPr>
          <w:rFonts w:ascii="宋体" w:hAnsi="宋体" w:cs="宋体"/>
          <w:kern w:val="0"/>
          <w:szCs w:val="21"/>
        </w:rPr>
      </w:pPr>
      <w:r>
        <w:rPr>
          <w:rFonts w:hint="eastAsia" w:ascii="宋体" w:hAnsi="宋体" w:cs="宋体"/>
          <w:kern w:val="0"/>
          <w:szCs w:val="21"/>
        </w:rPr>
        <w:t>中标（成交）后不依法与采购人签订合同；</w:t>
      </w:r>
    </w:p>
    <w:p>
      <w:pPr>
        <w:widowControl/>
        <w:numPr>
          <w:ilvl w:val="0"/>
          <w:numId w:val="9"/>
        </w:numPr>
        <w:spacing w:line="520" w:lineRule="exact"/>
        <w:jc w:val="left"/>
        <w:rPr>
          <w:rFonts w:ascii="宋体" w:hAnsi="宋体" w:cs="宋体"/>
          <w:kern w:val="0"/>
          <w:szCs w:val="21"/>
        </w:rPr>
      </w:pPr>
      <w:r>
        <w:rPr>
          <w:rFonts w:hint="eastAsia" w:ascii="宋体" w:hAnsi="宋体" w:cs="宋体"/>
          <w:kern w:val="0"/>
          <w:szCs w:val="21"/>
        </w:rPr>
        <w:t>中标（成交）后不按本采购文件规定向采购人提交履约保证金；</w:t>
      </w:r>
    </w:p>
    <w:p>
      <w:pPr>
        <w:widowControl/>
        <w:numPr>
          <w:ilvl w:val="0"/>
          <w:numId w:val="9"/>
        </w:numPr>
        <w:spacing w:line="520" w:lineRule="exact"/>
        <w:jc w:val="left"/>
        <w:rPr>
          <w:rFonts w:ascii="宋体" w:hAnsi="宋体" w:cs="宋体"/>
          <w:kern w:val="0"/>
          <w:szCs w:val="21"/>
        </w:rPr>
      </w:pPr>
      <w:r>
        <w:rPr>
          <w:rFonts w:hint="eastAsia" w:ascii="宋体" w:hAnsi="宋体" w:cs="宋体"/>
          <w:kern w:val="0"/>
          <w:szCs w:val="21"/>
        </w:rPr>
        <w:t>中标（成交）后不按本采购文件规定向贵方缴纳采购代理费。</w:t>
      </w:r>
    </w:p>
    <w:p>
      <w:pPr>
        <w:widowControl/>
        <w:numPr>
          <w:ilvl w:val="0"/>
          <w:numId w:val="8"/>
        </w:numPr>
        <w:tabs>
          <w:tab w:val="left" w:pos="426"/>
        </w:tabs>
        <w:spacing w:line="520" w:lineRule="exact"/>
        <w:ind w:left="431" w:hanging="431"/>
        <w:jc w:val="left"/>
        <w:rPr>
          <w:rFonts w:ascii="宋体" w:hAnsi="宋体" w:cs="宋体"/>
          <w:kern w:val="0"/>
          <w:szCs w:val="21"/>
        </w:rPr>
      </w:pPr>
      <w:r>
        <w:rPr>
          <w:rFonts w:hint="eastAsia" w:ascii="宋体" w:hAnsi="宋体" w:cs="宋体"/>
          <w:kern w:val="0"/>
          <w:szCs w:val="21"/>
        </w:rPr>
        <w:t>我单位知晓上述行为的法律后果，承认本承诺书作为贵方（或采购人）要求我单位履行违约赔偿义务的依据作用。</w:t>
      </w:r>
    </w:p>
    <w:p>
      <w:pPr>
        <w:widowControl/>
        <w:spacing w:line="520" w:lineRule="exact"/>
        <w:jc w:val="left"/>
        <w:rPr>
          <w:rFonts w:cs="宋体"/>
          <w:kern w:val="0"/>
          <w:szCs w:val="21"/>
        </w:rPr>
      </w:pPr>
      <w:r>
        <w:rPr>
          <w:rFonts w:hint="eastAsia" w:cs="宋体"/>
          <w:kern w:val="0"/>
          <w:szCs w:val="21"/>
        </w:rPr>
        <w:t> </w:t>
      </w:r>
    </w:p>
    <w:p>
      <w:pPr>
        <w:widowControl/>
        <w:spacing w:line="520" w:lineRule="exact"/>
        <w:ind w:firstLine="424" w:firstLineChars="202"/>
        <w:jc w:val="left"/>
        <w:rPr>
          <w:rFonts w:cs="宋体"/>
          <w:kern w:val="0"/>
          <w:szCs w:val="21"/>
        </w:rPr>
      </w:pPr>
      <w:r>
        <w:rPr>
          <w:rFonts w:hint="eastAsia" w:cs="宋体"/>
          <w:kern w:val="0"/>
          <w:szCs w:val="21"/>
        </w:rPr>
        <w:t>投标（响应）人：（盖公章）</w:t>
      </w:r>
    </w:p>
    <w:p>
      <w:pPr>
        <w:widowControl/>
        <w:spacing w:line="520" w:lineRule="exact"/>
        <w:ind w:firstLine="424" w:firstLineChars="202"/>
        <w:jc w:val="left"/>
        <w:rPr>
          <w:rFonts w:cs="宋体"/>
          <w:kern w:val="0"/>
          <w:szCs w:val="21"/>
        </w:rPr>
      </w:pPr>
      <w:r>
        <w:rPr>
          <w:rFonts w:hint="eastAsia" w:cs="宋体"/>
          <w:kern w:val="0"/>
          <w:szCs w:val="21"/>
        </w:rPr>
        <w:t>地址：</w:t>
      </w:r>
      <w:r>
        <w:rPr>
          <w:rFonts w:hint="eastAsia" w:cs="宋体"/>
          <w:kern w:val="0"/>
          <w:szCs w:val="21"/>
          <w:u w:val="single"/>
        </w:rPr>
        <w:t xml:space="preserve">                                   </w:t>
      </w:r>
    </w:p>
    <w:p>
      <w:pPr>
        <w:widowControl/>
        <w:spacing w:line="520" w:lineRule="exact"/>
        <w:ind w:firstLine="424" w:firstLineChars="202"/>
        <w:jc w:val="left"/>
        <w:rPr>
          <w:rFonts w:cs="宋体"/>
          <w:kern w:val="0"/>
          <w:szCs w:val="21"/>
        </w:rPr>
      </w:pPr>
      <w:r>
        <w:rPr>
          <w:rFonts w:hint="eastAsia" w:cs="宋体"/>
          <w:kern w:val="0"/>
          <w:szCs w:val="21"/>
        </w:rPr>
        <w:t>电话：</w:t>
      </w:r>
      <w:r>
        <w:rPr>
          <w:rFonts w:hint="eastAsia" w:cs="宋体"/>
          <w:kern w:val="0"/>
          <w:szCs w:val="21"/>
          <w:u w:val="single"/>
        </w:rPr>
        <w:t xml:space="preserve">                          </w:t>
      </w:r>
    </w:p>
    <w:p>
      <w:pPr>
        <w:widowControl/>
        <w:spacing w:line="520" w:lineRule="exact"/>
        <w:ind w:firstLine="424" w:firstLineChars="202"/>
        <w:jc w:val="left"/>
        <w:rPr>
          <w:rFonts w:cs="宋体"/>
          <w:kern w:val="0"/>
          <w:szCs w:val="21"/>
        </w:rPr>
      </w:pPr>
      <w:r>
        <w:rPr>
          <w:rFonts w:hint="eastAsia" w:cs="宋体"/>
          <w:kern w:val="0"/>
          <w:szCs w:val="21"/>
        </w:rPr>
        <w:t>传真：</w:t>
      </w:r>
      <w:r>
        <w:rPr>
          <w:rFonts w:hint="eastAsia" w:cs="宋体"/>
          <w:kern w:val="0"/>
          <w:szCs w:val="21"/>
          <w:u w:val="single"/>
        </w:rPr>
        <w:t xml:space="preserve">                          </w:t>
      </w:r>
    </w:p>
    <w:p>
      <w:pPr>
        <w:widowControl/>
        <w:spacing w:line="520" w:lineRule="exact"/>
        <w:ind w:firstLine="424" w:firstLineChars="202"/>
        <w:jc w:val="left"/>
        <w:rPr>
          <w:rFonts w:cs="宋体"/>
          <w:kern w:val="0"/>
          <w:szCs w:val="21"/>
        </w:rPr>
      </w:pPr>
      <w:r>
        <w:rPr>
          <w:rFonts w:hint="eastAsia" w:cs="宋体"/>
          <w:kern w:val="0"/>
          <w:szCs w:val="21"/>
        </w:rPr>
        <w:t>电子邮件：</w:t>
      </w:r>
      <w:r>
        <w:rPr>
          <w:rFonts w:hint="eastAsia" w:cs="宋体"/>
          <w:kern w:val="0"/>
          <w:szCs w:val="21"/>
          <w:u w:val="single"/>
        </w:rPr>
        <w:t xml:space="preserve">                                     </w:t>
      </w:r>
    </w:p>
    <w:p>
      <w:pPr>
        <w:widowControl/>
        <w:spacing w:line="520" w:lineRule="exact"/>
        <w:ind w:firstLine="424" w:firstLineChars="202"/>
        <w:jc w:val="left"/>
        <w:rPr>
          <w:rFonts w:cs="宋体"/>
          <w:kern w:val="0"/>
          <w:szCs w:val="21"/>
        </w:rPr>
      </w:pPr>
      <w:r>
        <w:rPr>
          <w:rFonts w:hint="eastAsia" w:cs="宋体"/>
          <w:kern w:val="0"/>
          <w:szCs w:val="21"/>
        </w:rPr>
        <w:t>邮编：</w:t>
      </w:r>
      <w:r>
        <w:rPr>
          <w:rFonts w:hint="eastAsia" w:cs="宋体"/>
          <w:kern w:val="0"/>
          <w:szCs w:val="21"/>
          <w:u w:val="single"/>
        </w:rPr>
        <w:t xml:space="preserve">                                      </w:t>
      </w:r>
    </w:p>
    <w:p>
      <w:pPr>
        <w:widowControl/>
        <w:spacing w:line="520" w:lineRule="exact"/>
        <w:ind w:firstLine="424" w:firstLineChars="202"/>
        <w:jc w:val="left"/>
        <w:rPr>
          <w:rFonts w:cs="宋体"/>
          <w:kern w:val="0"/>
          <w:szCs w:val="21"/>
        </w:rPr>
      </w:pPr>
      <w:r>
        <w:rPr>
          <w:rFonts w:hint="eastAsia" w:cs="宋体"/>
          <w:kern w:val="0"/>
          <w:szCs w:val="21"/>
        </w:rPr>
        <w:t>法定代表人或委托代理人(签字或签章)：</w:t>
      </w:r>
    </w:p>
    <w:p>
      <w:pPr>
        <w:widowControl/>
        <w:spacing w:line="520" w:lineRule="exact"/>
        <w:ind w:firstLine="424" w:firstLineChars="202"/>
        <w:jc w:val="left"/>
        <w:rPr>
          <w:rFonts w:cs="宋体"/>
          <w:kern w:val="0"/>
          <w:szCs w:val="21"/>
        </w:rPr>
      </w:pPr>
      <w:r>
        <w:rPr>
          <w:rFonts w:hint="eastAsia" w:cs="宋体"/>
          <w:kern w:val="0"/>
          <w:szCs w:val="21"/>
        </w:rPr>
        <w:t>日期：</w:t>
      </w:r>
    </w:p>
    <w:p>
      <w:pPr>
        <w:rPr>
          <w:rFonts w:ascii="宋体" w:hAnsi="宋体"/>
          <w:b/>
          <w:bCs/>
          <w:kern w:val="0"/>
          <w:szCs w:val="21"/>
        </w:rPr>
      </w:pPr>
      <w:r>
        <w:rPr>
          <w:rFonts w:ascii="宋体" w:hAnsi="宋体"/>
          <w:b/>
          <w:bCs/>
          <w:kern w:val="0"/>
          <w:szCs w:val="21"/>
        </w:rPr>
        <w:br w:type="page"/>
      </w:r>
    </w:p>
    <w:p>
      <w:pPr>
        <w:rPr>
          <w:rFonts w:ascii="宋体" w:hAnsi="宋体"/>
          <w:b/>
          <w:bCs/>
          <w:kern w:val="0"/>
          <w:szCs w:val="21"/>
        </w:rPr>
      </w:pPr>
    </w:p>
    <w:p>
      <w:pPr>
        <w:rPr>
          <w:rFonts w:ascii="宋体" w:hAnsi="宋体"/>
          <w:b/>
        </w:rPr>
      </w:pPr>
      <w:r>
        <w:rPr>
          <w:rFonts w:hint="eastAsia" w:ascii="宋体" w:hAnsi="宋体"/>
          <w:b/>
        </w:rPr>
        <w:t>附件9</w:t>
      </w:r>
    </w:p>
    <w:p>
      <w:pPr>
        <w:spacing w:line="480" w:lineRule="auto"/>
        <w:jc w:val="center"/>
        <w:rPr>
          <w:rFonts w:ascii="宋体" w:hAnsi="宋体"/>
          <w:szCs w:val="21"/>
        </w:rPr>
      </w:pPr>
      <w:r>
        <w:rPr>
          <w:rFonts w:hint="eastAsia" w:ascii="宋体" w:hAnsi="宋体"/>
          <w:b/>
          <w:bCs/>
          <w:szCs w:val="21"/>
        </w:rPr>
        <w:t>考核表</w:t>
      </w:r>
    </w:p>
    <w:tbl>
      <w:tblPr>
        <w:tblStyle w:val="24"/>
        <w:tblW w:w="9260" w:type="dxa"/>
        <w:tblInd w:w="0" w:type="dxa"/>
        <w:tblLayout w:type="fixed"/>
        <w:tblCellMar>
          <w:top w:w="0" w:type="dxa"/>
          <w:left w:w="108" w:type="dxa"/>
          <w:bottom w:w="0" w:type="dxa"/>
          <w:right w:w="108" w:type="dxa"/>
        </w:tblCellMar>
      </w:tblPr>
      <w:tblGrid>
        <w:gridCol w:w="2319"/>
        <w:gridCol w:w="5087"/>
        <w:gridCol w:w="1854"/>
      </w:tblGrid>
      <w:tr>
        <w:tblPrEx>
          <w:tblLayout w:type="fixed"/>
          <w:tblCellMar>
            <w:top w:w="0" w:type="dxa"/>
            <w:left w:w="108" w:type="dxa"/>
            <w:bottom w:w="0" w:type="dxa"/>
            <w:right w:w="108" w:type="dxa"/>
          </w:tblCellMar>
        </w:tblPrEx>
        <w:trPr>
          <w:trHeight w:val="778" w:hRule="atLeast"/>
        </w:trPr>
        <w:tc>
          <w:tcPr>
            <w:tcW w:w="2319" w:type="dxa"/>
            <w:tcBorders>
              <w:top w:val="single" w:color="auto" w:sz="4" w:space="0"/>
              <w:left w:val="single" w:color="auto" w:sz="4" w:space="0"/>
              <w:bottom w:val="single" w:color="auto" w:sz="4" w:space="0"/>
              <w:right w:val="single" w:color="auto" w:sz="4" w:space="0"/>
            </w:tcBorders>
            <w:vAlign w:val="center"/>
          </w:tcPr>
          <w:p>
            <w:pPr>
              <w:tabs>
                <w:tab w:val="left" w:pos="180"/>
                <w:tab w:val="left" w:pos="360"/>
              </w:tabs>
              <w:spacing w:line="360" w:lineRule="auto"/>
              <w:jc w:val="center"/>
              <w:rPr>
                <w:rFonts w:ascii="宋体" w:hAnsi="宋体"/>
                <w:szCs w:val="21"/>
              </w:rPr>
            </w:pPr>
            <w:r>
              <w:rPr>
                <w:rFonts w:hint="eastAsia" w:ascii="宋体" w:hAnsi="宋体"/>
                <w:szCs w:val="21"/>
              </w:rPr>
              <w:t>项目</w:t>
            </w:r>
          </w:p>
        </w:tc>
        <w:tc>
          <w:tcPr>
            <w:tcW w:w="5087" w:type="dxa"/>
            <w:tcBorders>
              <w:top w:val="single" w:color="auto" w:sz="4" w:space="0"/>
              <w:left w:val="nil"/>
              <w:bottom w:val="single" w:color="auto" w:sz="4" w:space="0"/>
              <w:right w:val="single" w:color="auto" w:sz="4" w:space="0"/>
            </w:tcBorders>
            <w:vAlign w:val="center"/>
          </w:tcPr>
          <w:p>
            <w:pPr>
              <w:tabs>
                <w:tab w:val="left" w:pos="180"/>
                <w:tab w:val="left" w:pos="360"/>
              </w:tabs>
              <w:spacing w:line="360" w:lineRule="auto"/>
              <w:jc w:val="center"/>
              <w:rPr>
                <w:rFonts w:ascii="宋体" w:hAnsi="宋体"/>
                <w:szCs w:val="21"/>
              </w:rPr>
            </w:pPr>
            <w:r>
              <w:rPr>
                <w:rFonts w:hint="eastAsia" w:ascii="宋体" w:hAnsi="宋体"/>
                <w:szCs w:val="21"/>
              </w:rPr>
              <w:t>内容</w:t>
            </w:r>
          </w:p>
        </w:tc>
        <w:tc>
          <w:tcPr>
            <w:tcW w:w="1854" w:type="dxa"/>
            <w:tcBorders>
              <w:top w:val="single" w:color="auto" w:sz="4" w:space="0"/>
              <w:left w:val="nil"/>
              <w:bottom w:val="single" w:color="auto" w:sz="4" w:space="0"/>
              <w:right w:val="single" w:color="auto" w:sz="4" w:space="0"/>
            </w:tcBorders>
            <w:vAlign w:val="center"/>
          </w:tcPr>
          <w:p>
            <w:pPr>
              <w:tabs>
                <w:tab w:val="left" w:pos="180"/>
                <w:tab w:val="left" w:pos="360"/>
              </w:tabs>
              <w:spacing w:line="360" w:lineRule="auto"/>
              <w:jc w:val="center"/>
              <w:rPr>
                <w:rFonts w:ascii="宋体" w:hAnsi="宋体"/>
                <w:szCs w:val="21"/>
              </w:rPr>
            </w:pPr>
            <w:r>
              <w:rPr>
                <w:rFonts w:hint="eastAsia" w:ascii="宋体" w:hAnsi="宋体"/>
                <w:szCs w:val="21"/>
              </w:rPr>
              <w:t>考核分</w:t>
            </w:r>
          </w:p>
        </w:tc>
      </w:tr>
      <w:tr>
        <w:tblPrEx>
          <w:tblLayout w:type="fixed"/>
          <w:tblCellMar>
            <w:top w:w="0" w:type="dxa"/>
            <w:left w:w="108" w:type="dxa"/>
            <w:bottom w:w="0" w:type="dxa"/>
            <w:right w:w="108" w:type="dxa"/>
          </w:tblCellMar>
        </w:tblPrEx>
        <w:trPr>
          <w:trHeight w:val="778" w:hRule="atLeast"/>
        </w:trPr>
        <w:tc>
          <w:tcPr>
            <w:tcW w:w="2319" w:type="dxa"/>
            <w:vMerge w:val="restart"/>
            <w:tcBorders>
              <w:top w:val="nil"/>
              <w:left w:val="single" w:color="auto" w:sz="4" w:space="0"/>
              <w:bottom w:val="single" w:color="auto" w:sz="4" w:space="0"/>
              <w:right w:val="single" w:color="auto" w:sz="4" w:space="0"/>
            </w:tcBorders>
            <w:vAlign w:val="center"/>
          </w:tcPr>
          <w:p>
            <w:pPr>
              <w:tabs>
                <w:tab w:val="left" w:pos="180"/>
                <w:tab w:val="left" w:pos="360"/>
              </w:tabs>
              <w:spacing w:line="360" w:lineRule="auto"/>
              <w:jc w:val="center"/>
              <w:rPr>
                <w:rFonts w:ascii="宋体" w:hAnsi="宋体"/>
                <w:szCs w:val="21"/>
              </w:rPr>
            </w:pPr>
            <w:r>
              <w:rPr>
                <w:rFonts w:hint="eastAsia" w:ascii="宋体" w:hAnsi="宋体"/>
                <w:szCs w:val="21"/>
              </w:rPr>
              <w:t>基础管理（15分）</w:t>
            </w:r>
          </w:p>
        </w:tc>
        <w:tc>
          <w:tcPr>
            <w:tcW w:w="5087" w:type="dxa"/>
            <w:tcBorders>
              <w:top w:val="nil"/>
              <w:left w:val="nil"/>
              <w:bottom w:val="single" w:color="auto" w:sz="4" w:space="0"/>
              <w:right w:val="single" w:color="auto" w:sz="4" w:space="0"/>
            </w:tcBorders>
            <w:vAlign w:val="center"/>
          </w:tcPr>
          <w:p>
            <w:pPr>
              <w:tabs>
                <w:tab w:val="left" w:pos="180"/>
                <w:tab w:val="left" w:pos="360"/>
              </w:tabs>
              <w:spacing w:line="360" w:lineRule="auto"/>
              <w:jc w:val="center"/>
              <w:rPr>
                <w:rFonts w:ascii="宋体" w:hAnsi="宋体"/>
                <w:szCs w:val="21"/>
              </w:rPr>
            </w:pPr>
            <w:r>
              <w:rPr>
                <w:rFonts w:hint="eastAsia" w:ascii="宋体" w:hAnsi="宋体"/>
                <w:szCs w:val="21"/>
              </w:rPr>
              <w:t>工作流程控制制度</w:t>
            </w:r>
          </w:p>
        </w:tc>
        <w:tc>
          <w:tcPr>
            <w:tcW w:w="1854" w:type="dxa"/>
            <w:tcBorders>
              <w:top w:val="single" w:color="auto" w:sz="4" w:space="0"/>
              <w:left w:val="nil"/>
              <w:bottom w:val="single" w:color="auto" w:sz="4" w:space="0"/>
              <w:right w:val="single" w:color="auto" w:sz="4" w:space="0"/>
            </w:tcBorders>
            <w:vAlign w:val="center"/>
          </w:tcPr>
          <w:p>
            <w:pPr>
              <w:tabs>
                <w:tab w:val="left" w:pos="180"/>
                <w:tab w:val="left" w:pos="360"/>
              </w:tabs>
              <w:spacing w:line="360" w:lineRule="auto"/>
              <w:jc w:val="center"/>
              <w:rPr>
                <w:rFonts w:ascii="宋体" w:hAnsi="宋体"/>
                <w:szCs w:val="21"/>
              </w:rPr>
            </w:pPr>
            <w:r>
              <w:rPr>
                <w:rFonts w:hint="eastAsia" w:ascii="宋体" w:hAnsi="宋体"/>
                <w:szCs w:val="21"/>
              </w:rPr>
              <w:t>5分</w:t>
            </w:r>
          </w:p>
        </w:tc>
      </w:tr>
      <w:tr>
        <w:tblPrEx>
          <w:tblLayout w:type="fixed"/>
          <w:tblCellMar>
            <w:top w:w="0" w:type="dxa"/>
            <w:left w:w="108" w:type="dxa"/>
            <w:bottom w:w="0" w:type="dxa"/>
            <w:right w:w="108" w:type="dxa"/>
          </w:tblCellMar>
        </w:tblPrEx>
        <w:trPr>
          <w:trHeight w:val="778" w:hRule="atLeast"/>
        </w:trPr>
        <w:tc>
          <w:tcPr>
            <w:tcW w:w="2319" w:type="dxa"/>
            <w:vMerge w:val="continue"/>
            <w:tcBorders>
              <w:top w:val="nil"/>
              <w:left w:val="single" w:color="auto" w:sz="4" w:space="0"/>
              <w:bottom w:val="single" w:color="auto" w:sz="4" w:space="0"/>
              <w:right w:val="single" w:color="auto" w:sz="4" w:space="0"/>
            </w:tcBorders>
            <w:vAlign w:val="center"/>
          </w:tcPr>
          <w:p>
            <w:pPr>
              <w:tabs>
                <w:tab w:val="left" w:pos="180"/>
                <w:tab w:val="left" w:pos="360"/>
              </w:tabs>
              <w:spacing w:line="360" w:lineRule="auto"/>
              <w:jc w:val="center"/>
              <w:rPr>
                <w:rFonts w:ascii="宋体" w:hAnsi="宋体"/>
                <w:szCs w:val="21"/>
              </w:rPr>
            </w:pPr>
          </w:p>
        </w:tc>
        <w:tc>
          <w:tcPr>
            <w:tcW w:w="5087" w:type="dxa"/>
            <w:tcBorders>
              <w:top w:val="nil"/>
              <w:left w:val="nil"/>
              <w:bottom w:val="single" w:color="auto" w:sz="4" w:space="0"/>
              <w:right w:val="single" w:color="auto" w:sz="4" w:space="0"/>
            </w:tcBorders>
            <w:vAlign w:val="center"/>
          </w:tcPr>
          <w:p>
            <w:pPr>
              <w:tabs>
                <w:tab w:val="left" w:pos="180"/>
                <w:tab w:val="left" w:pos="360"/>
              </w:tabs>
              <w:spacing w:line="360" w:lineRule="auto"/>
              <w:jc w:val="center"/>
              <w:rPr>
                <w:rFonts w:ascii="宋体" w:hAnsi="宋体"/>
                <w:szCs w:val="21"/>
              </w:rPr>
            </w:pPr>
            <w:r>
              <w:rPr>
                <w:rFonts w:hint="eastAsia" w:ascii="宋体" w:hAnsi="宋体"/>
                <w:szCs w:val="21"/>
              </w:rPr>
              <w:t>质量管理控制制度</w:t>
            </w:r>
          </w:p>
        </w:tc>
        <w:tc>
          <w:tcPr>
            <w:tcW w:w="1854" w:type="dxa"/>
            <w:tcBorders>
              <w:top w:val="single" w:color="auto" w:sz="4" w:space="0"/>
              <w:left w:val="nil"/>
              <w:bottom w:val="single" w:color="auto" w:sz="4" w:space="0"/>
              <w:right w:val="single" w:color="auto" w:sz="4" w:space="0"/>
            </w:tcBorders>
            <w:vAlign w:val="center"/>
          </w:tcPr>
          <w:p>
            <w:pPr>
              <w:tabs>
                <w:tab w:val="left" w:pos="180"/>
                <w:tab w:val="left" w:pos="360"/>
              </w:tabs>
              <w:spacing w:line="360" w:lineRule="auto"/>
              <w:jc w:val="center"/>
              <w:rPr>
                <w:rFonts w:ascii="宋体" w:hAnsi="宋体"/>
                <w:szCs w:val="21"/>
              </w:rPr>
            </w:pPr>
            <w:r>
              <w:rPr>
                <w:rFonts w:hint="eastAsia" w:ascii="宋体" w:hAnsi="宋体"/>
                <w:szCs w:val="21"/>
              </w:rPr>
              <w:t>5分</w:t>
            </w:r>
          </w:p>
        </w:tc>
      </w:tr>
      <w:tr>
        <w:tblPrEx>
          <w:tblLayout w:type="fixed"/>
          <w:tblCellMar>
            <w:top w:w="0" w:type="dxa"/>
            <w:left w:w="108" w:type="dxa"/>
            <w:bottom w:w="0" w:type="dxa"/>
            <w:right w:w="108" w:type="dxa"/>
          </w:tblCellMar>
        </w:tblPrEx>
        <w:trPr>
          <w:trHeight w:val="778" w:hRule="atLeast"/>
        </w:trPr>
        <w:tc>
          <w:tcPr>
            <w:tcW w:w="2319" w:type="dxa"/>
            <w:vMerge w:val="continue"/>
            <w:tcBorders>
              <w:top w:val="nil"/>
              <w:left w:val="single" w:color="auto" w:sz="4" w:space="0"/>
              <w:bottom w:val="single" w:color="auto" w:sz="4" w:space="0"/>
              <w:right w:val="single" w:color="auto" w:sz="4" w:space="0"/>
            </w:tcBorders>
            <w:vAlign w:val="center"/>
          </w:tcPr>
          <w:p>
            <w:pPr>
              <w:tabs>
                <w:tab w:val="left" w:pos="180"/>
                <w:tab w:val="left" w:pos="360"/>
              </w:tabs>
              <w:spacing w:line="360" w:lineRule="auto"/>
              <w:ind w:firstLine="420" w:firstLineChars="200"/>
              <w:jc w:val="center"/>
              <w:rPr>
                <w:rFonts w:ascii="宋体" w:hAnsi="宋体"/>
                <w:szCs w:val="21"/>
              </w:rPr>
            </w:pPr>
          </w:p>
        </w:tc>
        <w:tc>
          <w:tcPr>
            <w:tcW w:w="5087" w:type="dxa"/>
            <w:tcBorders>
              <w:top w:val="nil"/>
              <w:left w:val="nil"/>
              <w:bottom w:val="single" w:color="auto" w:sz="4" w:space="0"/>
              <w:right w:val="single" w:color="auto" w:sz="4" w:space="0"/>
            </w:tcBorders>
            <w:vAlign w:val="center"/>
          </w:tcPr>
          <w:p>
            <w:pPr>
              <w:tabs>
                <w:tab w:val="left" w:pos="180"/>
                <w:tab w:val="left" w:pos="360"/>
              </w:tabs>
              <w:spacing w:line="360" w:lineRule="auto"/>
              <w:jc w:val="center"/>
              <w:rPr>
                <w:rFonts w:ascii="宋体" w:hAnsi="宋体"/>
                <w:szCs w:val="21"/>
              </w:rPr>
            </w:pPr>
            <w:r>
              <w:rPr>
                <w:rFonts w:hint="eastAsia" w:ascii="宋体" w:hAnsi="宋体"/>
                <w:szCs w:val="21"/>
              </w:rPr>
              <w:t>规章制度执行管理</w:t>
            </w:r>
          </w:p>
        </w:tc>
        <w:tc>
          <w:tcPr>
            <w:tcW w:w="1854" w:type="dxa"/>
            <w:tcBorders>
              <w:top w:val="single" w:color="auto" w:sz="4" w:space="0"/>
              <w:left w:val="nil"/>
              <w:bottom w:val="single" w:color="auto" w:sz="4" w:space="0"/>
              <w:right w:val="single" w:color="auto" w:sz="4" w:space="0"/>
            </w:tcBorders>
            <w:vAlign w:val="center"/>
          </w:tcPr>
          <w:p>
            <w:pPr>
              <w:tabs>
                <w:tab w:val="left" w:pos="180"/>
                <w:tab w:val="left" w:pos="360"/>
              </w:tabs>
              <w:spacing w:line="360" w:lineRule="auto"/>
              <w:jc w:val="center"/>
              <w:rPr>
                <w:rFonts w:ascii="宋体" w:hAnsi="宋体"/>
                <w:szCs w:val="21"/>
              </w:rPr>
            </w:pPr>
            <w:r>
              <w:rPr>
                <w:rFonts w:hint="eastAsia" w:ascii="宋体" w:hAnsi="宋体"/>
                <w:szCs w:val="21"/>
              </w:rPr>
              <w:t>5分</w:t>
            </w:r>
          </w:p>
        </w:tc>
      </w:tr>
      <w:tr>
        <w:tblPrEx>
          <w:tblLayout w:type="fixed"/>
          <w:tblCellMar>
            <w:top w:w="0" w:type="dxa"/>
            <w:left w:w="108" w:type="dxa"/>
            <w:bottom w:w="0" w:type="dxa"/>
            <w:right w:w="108" w:type="dxa"/>
          </w:tblCellMar>
        </w:tblPrEx>
        <w:trPr>
          <w:trHeight w:val="778" w:hRule="atLeast"/>
        </w:trPr>
        <w:tc>
          <w:tcPr>
            <w:tcW w:w="2319" w:type="dxa"/>
            <w:vMerge w:val="restart"/>
            <w:tcBorders>
              <w:top w:val="single" w:color="auto" w:sz="4" w:space="0"/>
              <w:left w:val="single" w:color="auto" w:sz="4" w:space="0"/>
              <w:right w:val="single" w:color="auto" w:sz="4" w:space="0"/>
            </w:tcBorders>
            <w:vAlign w:val="center"/>
          </w:tcPr>
          <w:p>
            <w:pPr>
              <w:tabs>
                <w:tab w:val="left" w:pos="180"/>
                <w:tab w:val="left" w:pos="360"/>
              </w:tabs>
              <w:spacing w:line="360" w:lineRule="auto"/>
              <w:jc w:val="center"/>
              <w:rPr>
                <w:rFonts w:ascii="宋体" w:hAnsi="宋体"/>
                <w:szCs w:val="21"/>
              </w:rPr>
            </w:pPr>
            <w:r>
              <w:rPr>
                <w:rFonts w:hint="eastAsia" w:ascii="宋体" w:hAnsi="宋体"/>
                <w:szCs w:val="21"/>
              </w:rPr>
              <w:t>质量管理（50分）</w:t>
            </w:r>
          </w:p>
        </w:tc>
        <w:tc>
          <w:tcPr>
            <w:tcW w:w="5087" w:type="dxa"/>
            <w:tcBorders>
              <w:top w:val="nil"/>
              <w:left w:val="nil"/>
              <w:bottom w:val="single" w:color="auto" w:sz="4" w:space="0"/>
              <w:right w:val="single" w:color="auto" w:sz="4" w:space="0"/>
            </w:tcBorders>
            <w:vAlign w:val="center"/>
          </w:tcPr>
          <w:p>
            <w:pPr>
              <w:tabs>
                <w:tab w:val="left" w:pos="180"/>
                <w:tab w:val="left" w:pos="360"/>
              </w:tabs>
              <w:spacing w:line="360" w:lineRule="auto"/>
              <w:jc w:val="center"/>
              <w:rPr>
                <w:rFonts w:ascii="宋体" w:hAnsi="宋体"/>
                <w:szCs w:val="21"/>
              </w:rPr>
            </w:pPr>
            <w:r>
              <w:rPr>
                <w:rFonts w:hint="eastAsia" w:ascii="宋体" w:hAnsi="宋体"/>
                <w:szCs w:val="21"/>
              </w:rPr>
              <w:t>原始纸质档案的整理、保护</w:t>
            </w:r>
          </w:p>
        </w:tc>
        <w:tc>
          <w:tcPr>
            <w:tcW w:w="1854" w:type="dxa"/>
            <w:tcBorders>
              <w:top w:val="single" w:color="auto" w:sz="4" w:space="0"/>
              <w:left w:val="nil"/>
              <w:bottom w:val="single" w:color="auto" w:sz="4" w:space="0"/>
              <w:right w:val="single" w:color="000000" w:sz="4" w:space="0"/>
            </w:tcBorders>
            <w:vAlign w:val="center"/>
          </w:tcPr>
          <w:p>
            <w:pPr>
              <w:tabs>
                <w:tab w:val="left" w:pos="180"/>
                <w:tab w:val="left" w:pos="360"/>
              </w:tabs>
              <w:spacing w:line="360" w:lineRule="auto"/>
              <w:jc w:val="center"/>
              <w:rPr>
                <w:rFonts w:ascii="宋体" w:hAnsi="宋体"/>
                <w:szCs w:val="21"/>
              </w:rPr>
            </w:pPr>
            <w:r>
              <w:rPr>
                <w:rFonts w:hint="eastAsia" w:ascii="宋体" w:hAnsi="宋体"/>
                <w:szCs w:val="21"/>
              </w:rPr>
              <w:t>5分</w:t>
            </w:r>
          </w:p>
        </w:tc>
      </w:tr>
      <w:tr>
        <w:tblPrEx>
          <w:tblLayout w:type="fixed"/>
          <w:tblCellMar>
            <w:top w:w="0" w:type="dxa"/>
            <w:left w:w="108" w:type="dxa"/>
            <w:bottom w:w="0" w:type="dxa"/>
            <w:right w:w="108" w:type="dxa"/>
          </w:tblCellMar>
        </w:tblPrEx>
        <w:trPr>
          <w:trHeight w:val="778" w:hRule="atLeast"/>
        </w:trPr>
        <w:tc>
          <w:tcPr>
            <w:tcW w:w="2319" w:type="dxa"/>
            <w:vMerge w:val="continue"/>
            <w:tcBorders>
              <w:left w:val="single" w:color="auto" w:sz="4" w:space="0"/>
              <w:right w:val="single" w:color="auto" w:sz="4" w:space="0"/>
            </w:tcBorders>
            <w:vAlign w:val="center"/>
          </w:tcPr>
          <w:p>
            <w:pPr>
              <w:tabs>
                <w:tab w:val="left" w:pos="180"/>
                <w:tab w:val="left" w:pos="360"/>
              </w:tabs>
              <w:spacing w:line="360" w:lineRule="auto"/>
              <w:jc w:val="center"/>
              <w:rPr>
                <w:rFonts w:ascii="宋体" w:hAnsi="宋体"/>
                <w:szCs w:val="21"/>
              </w:rPr>
            </w:pPr>
          </w:p>
        </w:tc>
        <w:tc>
          <w:tcPr>
            <w:tcW w:w="5087" w:type="dxa"/>
            <w:tcBorders>
              <w:top w:val="nil"/>
              <w:left w:val="nil"/>
              <w:bottom w:val="single" w:color="auto" w:sz="4" w:space="0"/>
              <w:right w:val="single" w:color="auto" w:sz="4" w:space="0"/>
            </w:tcBorders>
            <w:vAlign w:val="center"/>
          </w:tcPr>
          <w:p>
            <w:pPr>
              <w:tabs>
                <w:tab w:val="left" w:pos="180"/>
                <w:tab w:val="left" w:pos="360"/>
              </w:tabs>
              <w:spacing w:line="360" w:lineRule="auto"/>
              <w:jc w:val="center"/>
              <w:rPr>
                <w:rFonts w:ascii="宋体" w:hAnsi="宋体"/>
                <w:szCs w:val="21"/>
              </w:rPr>
            </w:pPr>
            <w:r>
              <w:rPr>
                <w:rFonts w:hint="eastAsia" w:ascii="宋体" w:hAnsi="宋体"/>
                <w:szCs w:val="21"/>
              </w:rPr>
              <w:t>新沂市</w:t>
            </w:r>
            <w:r>
              <w:rPr>
                <w:rFonts w:hint="eastAsia" w:ascii="宋体" w:hAnsi="宋体"/>
                <w:szCs w:val="21"/>
                <w:lang w:eastAsia="zh-CN"/>
              </w:rPr>
              <w:t>公共资源交易中心</w:t>
            </w:r>
            <w:r>
              <w:rPr>
                <w:rFonts w:hint="eastAsia" w:ascii="宋体" w:hAnsi="宋体"/>
                <w:szCs w:val="21"/>
              </w:rPr>
              <w:t>档案整理及数字化服务项目质量</w:t>
            </w:r>
          </w:p>
        </w:tc>
        <w:tc>
          <w:tcPr>
            <w:tcW w:w="1854" w:type="dxa"/>
            <w:tcBorders>
              <w:top w:val="single" w:color="auto" w:sz="4" w:space="0"/>
              <w:left w:val="nil"/>
              <w:bottom w:val="single" w:color="auto" w:sz="4" w:space="0"/>
              <w:right w:val="single" w:color="000000" w:sz="4" w:space="0"/>
            </w:tcBorders>
            <w:vAlign w:val="center"/>
          </w:tcPr>
          <w:p>
            <w:pPr>
              <w:tabs>
                <w:tab w:val="left" w:pos="180"/>
                <w:tab w:val="left" w:pos="360"/>
              </w:tabs>
              <w:spacing w:line="360" w:lineRule="auto"/>
              <w:jc w:val="center"/>
              <w:rPr>
                <w:rFonts w:ascii="宋体" w:hAnsi="宋体"/>
                <w:szCs w:val="21"/>
              </w:rPr>
            </w:pPr>
            <w:r>
              <w:rPr>
                <w:rFonts w:hint="eastAsia" w:ascii="宋体" w:hAnsi="宋体"/>
                <w:szCs w:val="21"/>
              </w:rPr>
              <w:t>25分</w:t>
            </w:r>
          </w:p>
        </w:tc>
      </w:tr>
      <w:tr>
        <w:tblPrEx>
          <w:tblLayout w:type="fixed"/>
          <w:tblCellMar>
            <w:top w:w="0" w:type="dxa"/>
            <w:left w:w="108" w:type="dxa"/>
            <w:bottom w:w="0" w:type="dxa"/>
            <w:right w:w="108" w:type="dxa"/>
          </w:tblCellMar>
        </w:tblPrEx>
        <w:trPr>
          <w:trHeight w:val="778" w:hRule="atLeast"/>
        </w:trPr>
        <w:tc>
          <w:tcPr>
            <w:tcW w:w="2319" w:type="dxa"/>
            <w:vMerge w:val="continue"/>
            <w:tcBorders>
              <w:left w:val="single" w:color="auto" w:sz="4" w:space="0"/>
              <w:right w:val="single" w:color="auto" w:sz="4" w:space="0"/>
            </w:tcBorders>
            <w:vAlign w:val="center"/>
          </w:tcPr>
          <w:p>
            <w:pPr>
              <w:tabs>
                <w:tab w:val="left" w:pos="180"/>
                <w:tab w:val="left" w:pos="360"/>
              </w:tabs>
              <w:spacing w:line="360" w:lineRule="auto"/>
              <w:jc w:val="center"/>
              <w:rPr>
                <w:rFonts w:ascii="宋体" w:hAnsi="宋体"/>
                <w:szCs w:val="21"/>
              </w:rPr>
            </w:pPr>
          </w:p>
        </w:tc>
        <w:tc>
          <w:tcPr>
            <w:tcW w:w="5087" w:type="dxa"/>
            <w:tcBorders>
              <w:top w:val="nil"/>
              <w:left w:val="nil"/>
              <w:bottom w:val="single" w:color="auto" w:sz="4" w:space="0"/>
              <w:right w:val="single" w:color="auto" w:sz="4" w:space="0"/>
            </w:tcBorders>
            <w:vAlign w:val="center"/>
          </w:tcPr>
          <w:p>
            <w:pPr>
              <w:tabs>
                <w:tab w:val="left" w:pos="180"/>
                <w:tab w:val="left" w:pos="360"/>
              </w:tabs>
              <w:spacing w:line="360" w:lineRule="auto"/>
              <w:jc w:val="center"/>
              <w:rPr>
                <w:rFonts w:ascii="宋体" w:hAnsi="宋体"/>
                <w:szCs w:val="21"/>
              </w:rPr>
            </w:pPr>
            <w:r>
              <w:rPr>
                <w:rFonts w:hint="eastAsia" w:ascii="宋体" w:hAnsi="宋体"/>
                <w:szCs w:val="21"/>
              </w:rPr>
              <w:t>数据备份</w:t>
            </w:r>
          </w:p>
        </w:tc>
        <w:tc>
          <w:tcPr>
            <w:tcW w:w="1854" w:type="dxa"/>
            <w:tcBorders>
              <w:top w:val="single" w:color="auto" w:sz="4" w:space="0"/>
              <w:left w:val="nil"/>
              <w:bottom w:val="single" w:color="auto" w:sz="4" w:space="0"/>
              <w:right w:val="single" w:color="000000" w:sz="4" w:space="0"/>
            </w:tcBorders>
            <w:vAlign w:val="center"/>
          </w:tcPr>
          <w:p>
            <w:pPr>
              <w:tabs>
                <w:tab w:val="left" w:pos="180"/>
                <w:tab w:val="left" w:pos="360"/>
              </w:tabs>
              <w:spacing w:line="360" w:lineRule="auto"/>
              <w:jc w:val="center"/>
              <w:rPr>
                <w:rFonts w:ascii="宋体" w:hAnsi="宋体"/>
                <w:szCs w:val="21"/>
              </w:rPr>
            </w:pPr>
            <w:r>
              <w:rPr>
                <w:rFonts w:hint="eastAsia" w:ascii="宋体" w:hAnsi="宋体"/>
                <w:szCs w:val="21"/>
              </w:rPr>
              <w:t>10分</w:t>
            </w:r>
          </w:p>
        </w:tc>
      </w:tr>
      <w:tr>
        <w:tblPrEx>
          <w:tblLayout w:type="fixed"/>
          <w:tblCellMar>
            <w:top w:w="0" w:type="dxa"/>
            <w:left w:w="108" w:type="dxa"/>
            <w:bottom w:w="0" w:type="dxa"/>
            <w:right w:w="108" w:type="dxa"/>
          </w:tblCellMar>
        </w:tblPrEx>
        <w:trPr>
          <w:trHeight w:val="778" w:hRule="atLeast"/>
        </w:trPr>
        <w:tc>
          <w:tcPr>
            <w:tcW w:w="2319" w:type="dxa"/>
            <w:vMerge w:val="continue"/>
            <w:tcBorders>
              <w:left w:val="single" w:color="auto" w:sz="4" w:space="0"/>
              <w:right w:val="single" w:color="auto" w:sz="4" w:space="0"/>
            </w:tcBorders>
            <w:vAlign w:val="center"/>
          </w:tcPr>
          <w:p>
            <w:pPr>
              <w:tabs>
                <w:tab w:val="left" w:pos="180"/>
                <w:tab w:val="left" w:pos="360"/>
              </w:tabs>
              <w:spacing w:line="360" w:lineRule="auto"/>
              <w:jc w:val="center"/>
              <w:rPr>
                <w:rFonts w:ascii="宋体" w:hAnsi="宋体"/>
                <w:szCs w:val="21"/>
              </w:rPr>
            </w:pPr>
          </w:p>
        </w:tc>
        <w:tc>
          <w:tcPr>
            <w:tcW w:w="5087" w:type="dxa"/>
            <w:tcBorders>
              <w:top w:val="nil"/>
              <w:left w:val="nil"/>
              <w:bottom w:val="single" w:color="auto" w:sz="4" w:space="0"/>
              <w:right w:val="single" w:color="auto" w:sz="4" w:space="0"/>
            </w:tcBorders>
            <w:vAlign w:val="center"/>
          </w:tcPr>
          <w:p>
            <w:pPr>
              <w:tabs>
                <w:tab w:val="left" w:pos="180"/>
                <w:tab w:val="left" w:pos="360"/>
              </w:tabs>
              <w:spacing w:line="360" w:lineRule="auto"/>
              <w:jc w:val="center"/>
              <w:rPr>
                <w:rFonts w:ascii="宋体" w:hAnsi="宋体"/>
                <w:szCs w:val="21"/>
              </w:rPr>
            </w:pPr>
            <w:r>
              <w:rPr>
                <w:rFonts w:hint="eastAsia" w:ascii="宋体" w:hAnsi="宋体"/>
                <w:szCs w:val="21"/>
              </w:rPr>
              <w:t>工作量进度</w:t>
            </w:r>
          </w:p>
        </w:tc>
        <w:tc>
          <w:tcPr>
            <w:tcW w:w="1854" w:type="dxa"/>
            <w:tcBorders>
              <w:top w:val="single" w:color="auto" w:sz="4" w:space="0"/>
              <w:left w:val="nil"/>
              <w:bottom w:val="single" w:color="auto" w:sz="4" w:space="0"/>
              <w:right w:val="single" w:color="000000" w:sz="4" w:space="0"/>
            </w:tcBorders>
            <w:vAlign w:val="center"/>
          </w:tcPr>
          <w:p>
            <w:pPr>
              <w:tabs>
                <w:tab w:val="left" w:pos="180"/>
                <w:tab w:val="left" w:pos="360"/>
              </w:tabs>
              <w:spacing w:line="360" w:lineRule="auto"/>
              <w:jc w:val="center"/>
              <w:rPr>
                <w:rFonts w:ascii="宋体" w:hAnsi="宋体"/>
                <w:szCs w:val="21"/>
              </w:rPr>
            </w:pPr>
            <w:r>
              <w:rPr>
                <w:rFonts w:hint="eastAsia" w:ascii="宋体" w:hAnsi="宋体"/>
                <w:szCs w:val="21"/>
              </w:rPr>
              <w:t>10分</w:t>
            </w:r>
          </w:p>
        </w:tc>
      </w:tr>
      <w:tr>
        <w:tblPrEx>
          <w:tblLayout w:type="fixed"/>
          <w:tblCellMar>
            <w:top w:w="0" w:type="dxa"/>
            <w:left w:w="108" w:type="dxa"/>
            <w:bottom w:w="0" w:type="dxa"/>
            <w:right w:w="108" w:type="dxa"/>
          </w:tblCellMar>
        </w:tblPrEx>
        <w:trPr>
          <w:trHeight w:val="778" w:hRule="atLeast"/>
        </w:trPr>
        <w:tc>
          <w:tcPr>
            <w:tcW w:w="2319" w:type="dxa"/>
            <w:vMerge w:val="restart"/>
            <w:tcBorders>
              <w:top w:val="single" w:color="auto" w:sz="4" w:space="0"/>
              <w:left w:val="single" w:color="auto" w:sz="4" w:space="0"/>
              <w:right w:val="single" w:color="auto" w:sz="4" w:space="0"/>
            </w:tcBorders>
            <w:vAlign w:val="center"/>
          </w:tcPr>
          <w:p>
            <w:pPr>
              <w:tabs>
                <w:tab w:val="left" w:pos="180"/>
                <w:tab w:val="left" w:pos="360"/>
              </w:tabs>
              <w:spacing w:line="360" w:lineRule="auto"/>
              <w:jc w:val="center"/>
              <w:rPr>
                <w:rFonts w:ascii="宋体" w:hAnsi="宋体"/>
                <w:szCs w:val="21"/>
              </w:rPr>
            </w:pPr>
            <w:r>
              <w:rPr>
                <w:rFonts w:hint="eastAsia" w:ascii="宋体" w:hAnsi="宋体"/>
                <w:szCs w:val="21"/>
              </w:rPr>
              <w:t>人员管理（35分）</w:t>
            </w:r>
          </w:p>
        </w:tc>
        <w:tc>
          <w:tcPr>
            <w:tcW w:w="5087" w:type="dxa"/>
            <w:tcBorders>
              <w:top w:val="nil"/>
              <w:left w:val="nil"/>
              <w:bottom w:val="single" w:color="auto" w:sz="4" w:space="0"/>
              <w:right w:val="single" w:color="auto" w:sz="4" w:space="0"/>
            </w:tcBorders>
            <w:vAlign w:val="center"/>
          </w:tcPr>
          <w:p>
            <w:pPr>
              <w:tabs>
                <w:tab w:val="left" w:pos="180"/>
                <w:tab w:val="left" w:pos="360"/>
              </w:tabs>
              <w:spacing w:line="360" w:lineRule="auto"/>
              <w:jc w:val="center"/>
              <w:rPr>
                <w:rFonts w:ascii="宋体" w:hAnsi="宋体"/>
                <w:szCs w:val="21"/>
              </w:rPr>
            </w:pPr>
            <w:r>
              <w:rPr>
                <w:rFonts w:hint="eastAsia" w:ascii="宋体" w:hAnsi="宋体"/>
                <w:szCs w:val="21"/>
              </w:rPr>
              <w:t>人员配置情况</w:t>
            </w:r>
          </w:p>
        </w:tc>
        <w:tc>
          <w:tcPr>
            <w:tcW w:w="1854" w:type="dxa"/>
            <w:tcBorders>
              <w:top w:val="single" w:color="auto" w:sz="4" w:space="0"/>
              <w:left w:val="nil"/>
              <w:bottom w:val="single" w:color="auto" w:sz="4" w:space="0"/>
              <w:right w:val="single" w:color="auto" w:sz="4" w:space="0"/>
            </w:tcBorders>
            <w:vAlign w:val="center"/>
          </w:tcPr>
          <w:p>
            <w:pPr>
              <w:tabs>
                <w:tab w:val="left" w:pos="180"/>
                <w:tab w:val="left" w:pos="360"/>
              </w:tabs>
              <w:spacing w:line="360" w:lineRule="auto"/>
              <w:jc w:val="center"/>
              <w:rPr>
                <w:rFonts w:ascii="宋体" w:hAnsi="宋体"/>
                <w:szCs w:val="21"/>
              </w:rPr>
            </w:pPr>
            <w:r>
              <w:rPr>
                <w:rFonts w:hint="eastAsia" w:ascii="宋体" w:hAnsi="宋体"/>
                <w:szCs w:val="21"/>
              </w:rPr>
              <w:t>15分</w:t>
            </w:r>
          </w:p>
        </w:tc>
      </w:tr>
      <w:tr>
        <w:tblPrEx>
          <w:tblLayout w:type="fixed"/>
          <w:tblCellMar>
            <w:top w:w="0" w:type="dxa"/>
            <w:left w:w="108" w:type="dxa"/>
            <w:bottom w:w="0" w:type="dxa"/>
            <w:right w:w="108" w:type="dxa"/>
          </w:tblCellMar>
        </w:tblPrEx>
        <w:trPr>
          <w:trHeight w:val="778" w:hRule="atLeast"/>
        </w:trPr>
        <w:tc>
          <w:tcPr>
            <w:tcW w:w="2319" w:type="dxa"/>
            <w:vMerge w:val="continue"/>
            <w:tcBorders>
              <w:top w:val="single" w:color="auto" w:sz="4" w:space="0"/>
              <w:left w:val="single" w:color="auto" w:sz="4" w:space="0"/>
              <w:bottom w:val="single" w:color="auto" w:sz="4" w:space="0"/>
              <w:right w:val="single" w:color="auto" w:sz="4" w:space="0"/>
            </w:tcBorders>
            <w:vAlign w:val="center"/>
          </w:tcPr>
          <w:p>
            <w:pPr>
              <w:tabs>
                <w:tab w:val="left" w:pos="180"/>
                <w:tab w:val="left" w:pos="360"/>
              </w:tabs>
              <w:spacing w:line="360" w:lineRule="auto"/>
              <w:jc w:val="center"/>
              <w:rPr>
                <w:rFonts w:ascii="宋体" w:hAnsi="宋体"/>
                <w:szCs w:val="21"/>
              </w:rPr>
            </w:pPr>
          </w:p>
        </w:tc>
        <w:tc>
          <w:tcPr>
            <w:tcW w:w="5087" w:type="dxa"/>
            <w:tcBorders>
              <w:top w:val="nil"/>
              <w:left w:val="nil"/>
              <w:bottom w:val="single" w:color="auto" w:sz="4" w:space="0"/>
              <w:right w:val="single" w:color="auto" w:sz="4" w:space="0"/>
            </w:tcBorders>
            <w:vAlign w:val="center"/>
          </w:tcPr>
          <w:p>
            <w:pPr>
              <w:tabs>
                <w:tab w:val="left" w:pos="180"/>
                <w:tab w:val="left" w:pos="360"/>
              </w:tabs>
              <w:spacing w:line="360" w:lineRule="auto"/>
              <w:jc w:val="center"/>
              <w:rPr>
                <w:rFonts w:ascii="宋体" w:hAnsi="宋体"/>
                <w:szCs w:val="21"/>
              </w:rPr>
            </w:pPr>
            <w:r>
              <w:rPr>
                <w:rFonts w:hint="eastAsia" w:ascii="宋体" w:hAnsi="宋体"/>
                <w:szCs w:val="21"/>
              </w:rPr>
              <w:t>技术掌握熟练状况</w:t>
            </w:r>
          </w:p>
        </w:tc>
        <w:tc>
          <w:tcPr>
            <w:tcW w:w="1854" w:type="dxa"/>
            <w:tcBorders>
              <w:top w:val="single" w:color="auto" w:sz="4" w:space="0"/>
              <w:left w:val="nil"/>
              <w:bottom w:val="single" w:color="auto" w:sz="4" w:space="0"/>
              <w:right w:val="single" w:color="auto" w:sz="4" w:space="0"/>
            </w:tcBorders>
            <w:vAlign w:val="center"/>
          </w:tcPr>
          <w:p>
            <w:pPr>
              <w:tabs>
                <w:tab w:val="left" w:pos="180"/>
                <w:tab w:val="left" w:pos="360"/>
              </w:tabs>
              <w:spacing w:line="360" w:lineRule="auto"/>
              <w:jc w:val="center"/>
              <w:rPr>
                <w:rFonts w:ascii="宋体" w:hAnsi="宋体"/>
                <w:szCs w:val="21"/>
              </w:rPr>
            </w:pPr>
            <w:r>
              <w:rPr>
                <w:rFonts w:hint="eastAsia" w:ascii="宋体" w:hAnsi="宋体"/>
                <w:szCs w:val="21"/>
              </w:rPr>
              <w:t>20分</w:t>
            </w:r>
          </w:p>
        </w:tc>
      </w:tr>
    </w:tbl>
    <w:p>
      <w:pPr>
        <w:spacing w:line="360" w:lineRule="auto"/>
      </w:pPr>
    </w:p>
    <w:p>
      <w:pPr>
        <w:widowControl/>
        <w:jc w:val="left"/>
        <w:rPr>
          <w:rFonts w:ascii="Calibri" w:hAnsi="Calibri" w:cs="Calibri"/>
          <w:smallCaps/>
          <w:sz w:val="20"/>
          <w:szCs w:val="20"/>
        </w:rPr>
      </w:pPr>
    </w:p>
    <w:sectPr>
      <w:headerReference r:id="rId3" w:type="default"/>
      <w:footerReference r:id="rId4" w:type="default"/>
      <w:pgSz w:w="11906" w:h="16838"/>
      <w:pgMar w:top="1134" w:right="1418" w:bottom="113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hAnsi="宋体"/>
      </w:rPr>
    </w:pPr>
    <w:r>
      <w:rPr>
        <w:rFonts w:ascii="宋体" w:hAnsi="宋体"/>
        <w:lang w:val="zh-CN"/>
      </w:rPr>
      <w:t xml:space="preserve"> </w:t>
    </w:r>
    <w:r>
      <w:rPr>
        <w:rFonts w:ascii="宋体" w:hAnsi="宋体"/>
        <w:b/>
        <w:sz w:val="24"/>
        <w:szCs w:val="24"/>
      </w:rPr>
      <w:fldChar w:fldCharType="begin"/>
    </w:r>
    <w:r>
      <w:rPr>
        <w:rFonts w:ascii="宋体" w:hAnsi="宋体"/>
        <w:b/>
      </w:rPr>
      <w:instrText xml:space="preserve">PAGE</w:instrText>
    </w:r>
    <w:r>
      <w:rPr>
        <w:rFonts w:ascii="宋体" w:hAnsi="宋体"/>
        <w:b/>
        <w:sz w:val="24"/>
        <w:szCs w:val="24"/>
      </w:rPr>
      <w:fldChar w:fldCharType="separate"/>
    </w:r>
    <w:r>
      <w:rPr>
        <w:rFonts w:ascii="宋体" w:hAnsi="宋体"/>
        <w:b/>
      </w:rPr>
      <w:t>4</w:t>
    </w:r>
    <w:r>
      <w:rPr>
        <w:rFonts w:ascii="宋体" w:hAnsi="宋体"/>
        <w:b/>
        <w:sz w:val="24"/>
        <w:szCs w:val="24"/>
      </w:rPr>
      <w:fldChar w:fldCharType="end"/>
    </w:r>
    <w:r>
      <w:rPr>
        <w:rFonts w:ascii="宋体" w:hAnsi="宋体"/>
        <w:lang w:val="zh-CN"/>
      </w:rPr>
      <w:t xml:space="preserve"> / </w:t>
    </w:r>
    <w:r>
      <w:rPr>
        <w:rFonts w:ascii="宋体" w:hAnsi="宋体"/>
        <w:b/>
        <w:sz w:val="24"/>
        <w:szCs w:val="24"/>
      </w:rPr>
      <w:fldChar w:fldCharType="begin"/>
    </w:r>
    <w:r>
      <w:rPr>
        <w:rFonts w:ascii="宋体" w:hAnsi="宋体"/>
        <w:b/>
      </w:rPr>
      <w:instrText xml:space="preserve">NUMPAGES</w:instrText>
    </w:r>
    <w:r>
      <w:rPr>
        <w:rFonts w:ascii="宋体" w:hAnsi="宋体"/>
        <w:b/>
        <w:sz w:val="24"/>
        <w:szCs w:val="24"/>
      </w:rPr>
      <w:fldChar w:fldCharType="separate"/>
    </w:r>
    <w:r>
      <w:rPr>
        <w:rFonts w:ascii="宋体" w:hAnsi="宋体"/>
        <w:b/>
      </w:rPr>
      <w:t>33</w:t>
    </w:r>
    <w:r>
      <w:rPr>
        <w:rFonts w:ascii="宋体" w:hAnsi="宋体"/>
        <w:b/>
        <w:sz w:val="24"/>
        <w:szCs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宋体"/>
        <w:sz w:val="15"/>
        <w:szCs w:val="15"/>
        <w:lang w:eastAsia="zh-CN"/>
      </w:rPr>
    </w:pPr>
    <w:r>
      <w:rPr>
        <w:rFonts w:hint="eastAsia" w:ascii="宋体" w:hAnsi="宋体"/>
        <w:color w:val="000000"/>
        <w:sz w:val="15"/>
        <w:szCs w:val="15"/>
        <w:lang w:eastAsia="zh-CN"/>
      </w:rPr>
      <w:t>新沂市公共资源交易中心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23D21"/>
    <w:multiLevelType w:val="multilevel"/>
    <w:tmpl w:val="11923D21"/>
    <w:lvl w:ilvl="0" w:tentative="0">
      <w:start w:val="1"/>
      <w:numFmt w:val="decimal"/>
      <w:lvlText w:val="%1."/>
      <w:lvlJc w:val="left"/>
      <w:pPr>
        <w:tabs>
          <w:tab w:val="left" w:pos="993"/>
        </w:tabs>
        <w:ind w:left="993" w:hanging="425"/>
      </w:pPr>
      <w:rPr>
        <w:rFonts w:hint="eastAsia" w:ascii="宋体" w:hAnsi="宋体" w:eastAsia="宋体"/>
        <w:b/>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C7567E6"/>
    <w:multiLevelType w:val="multilevel"/>
    <w:tmpl w:val="1C7567E6"/>
    <w:lvl w:ilvl="0" w:tentative="0">
      <w:start w:val="1"/>
      <w:numFmt w:val="decimal"/>
      <w:lvlText w:val="（%1）"/>
      <w:lvlJc w:val="left"/>
      <w:pPr>
        <w:tabs>
          <w:tab w:val="left" w:pos="2579"/>
        </w:tabs>
        <w:ind w:left="2579" w:hanging="420"/>
      </w:pPr>
      <w:rPr>
        <w:rFonts w:hint="eastAsia"/>
      </w:rPr>
    </w:lvl>
    <w:lvl w:ilvl="1" w:tentative="0">
      <w:start w:val="1"/>
      <w:numFmt w:val="lowerLetter"/>
      <w:lvlText w:val="%2)"/>
      <w:lvlJc w:val="left"/>
      <w:pPr>
        <w:tabs>
          <w:tab w:val="left" w:pos="2579"/>
        </w:tabs>
        <w:ind w:left="2579" w:hanging="420"/>
      </w:pPr>
    </w:lvl>
    <w:lvl w:ilvl="2" w:tentative="0">
      <w:start w:val="1"/>
      <w:numFmt w:val="lowerRoman"/>
      <w:lvlText w:val="%3."/>
      <w:lvlJc w:val="right"/>
      <w:pPr>
        <w:tabs>
          <w:tab w:val="left" w:pos="2999"/>
        </w:tabs>
        <w:ind w:left="2999" w:hanging="420"/>
      </w:pPr>
    </w:lvl>
    <w:lvl w:ilvl="3" w:tentative="0">
      <w:start w:val="1"/>
      <w:numFmt w:val="decimal"/>
      <w:lvlText w:val="%4."/>
      <w:lvlJc w:val="left"/>
      <w:pPr>
        <w:tabs>
          <w:tab w:val="left" w:pos="3419"/>
        </w:tabs>
        <w:ind w:left="3419" w:hanging="420"/>
      </w:pPr>
    </w:lvl>
    <w:lvl w:ilvl="4" w:tentative="0">
      <w:start w:val="1"/>
      <w:numFmt w:val="lowerLetter"/>
      <w:lvlText w:val="%5)"/>
      <w:lvlJc w:val="left"/>
      <w:pPr>
        <w:tabs>
          <w:tab w:val="left" w:pos="3839"/>
        </w:tabs>
        <w:ind w:left="3839" w:hanging="420"/>
      </w:pPr>
    </w:lvl>
    <w:lvl w:ilvl="5" w:tentative="0">
      <w:start w:val="1"/>
      <w:numFmt w:val="lowerRoman"/>
      <w:lvlText w:val="%6."/>
      <w:lvlJc w:val="right"/>
      <w:pPr>
        <w:tabs>
          <w:tab w:val="left" w:pos="4259"/>
        </w:tabs>
        <w:ind w:left="4259" w:hanging="420"/>
      </w:pPr>
    </w:lvl>
    <w:lvl w:ilvl="6" w:tentative="0">
      <w:start w:val="1"/>
      <w:numFmt w:val="decimal"/>
      <w:lvlText w:val="%7."/>
      <w:lvlJc w:val="left"/>
      <w:pPr>
        <w:tabs>
          <w:tab w:val="left" w:pos="4679"/>
        </w:tabs>
        <w:ind w:left="4679" w:hanging="420"/>
      </w:pPr>
    </w:lvl>
    <w:lvl w:ilvl="7" w:tentative="0">
      <w:start w:val="1"/>
      <w:numFmt w:val="lowerLetter"/>
      <w:lvlText w:val="%8)"/>
      <w:lvlJc w:val="left"/>
      <w:pPr>
        <w:tabs>
          <w:tab w:val="left" w:pos="5099"/>
        </w:tabs>
        <w:ind w:left="5099" w:hanging="420"/>
      </w:pPr>
    </w:lvl>
    <w:lvl w:ilvl="8" w:tentative="0">
      <w:start w:val="1"/>
      <w:numFmt w:val="lowerRoman"/>
      <w:lvlText w:val="%9."/>
      <w:lvlJc w:val="right"/>
      <w:pPr>
        <w:tabs>
          <w:tab w:val="left" w:pos="5519"/>
        </w:tabs>
        <w:ind w:left="5519" w:hanging="420"/>
      </w:pPr>
    </w:lvl>
  </w:abstractNum>
  <w:abstractNum w:abstractNumId="2">
    <w:nsid w:val="23A4040D"/>
    <w:multiLevelType w:val="multilevel"/>
    <w:tmpl w:val="23A4040D"/>
    <w:lvl w:ilvl="0" w:tentative="0">
      <w:start w:val="1"/>
      <w:numFmt w:val="chineseCountingThousand"/>
      <w:lvlText w:val="%1、"/>
      <w:lvlJc w:val="left"/>
      <w:pPr>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A733050"/>
    <w:multiLevelType w:val="multilevel"/>
    <w:tmpl w:val="2A733050"/>
    <w:lvl w:ilvl="0" w:tentative="0">
      <w:start w:val="1"/>
      <w:numFmt w:val="decimal"/>
      <w:lvlText w:val="（%1）"/>
      <w:lvlJc w:val="left"/>
      <w:pPr>
        <w:tabs>
          <w:tab w:val="left" w:pos="2579"/>
        </w:tabs>
        <w:ind w:left="2579" w:hanging="420"/>
      </w:pPr>
      <w:rPr>
        <w:rFonts w:hint="eastAsia"/>
      </w:rPr>
    </w:lvl>
    <w:lvl w:ilvl="1" w:tentative="0">
      <w:start w:val="1"/>
      <w:numFmt w:val="lowerLetter"/>
      <w:lvlText w:val="%2)"/>
      <w:lvlJc w:val="left"/>
      <w:pPr>
        <w:tabs>
          <w:tab w:val="left" w:pos="2579"/>
        </w:tabs>
        <w:ind w:left="2579" w:hanging="420"/>
      </w:pPr>
    </w:lvl>
    <w:lvl w:ilvl="2" w:tentative="0">
      <w:start w:val="1"/>
      <w:numFmt w:val="lowerRoman"/>
      <w:lvlText w:val="%3."/>
      <w:lvlJc w:val="right"/>
      <w:pPr>
        <w:tabs>
          <w:tab w:val="left" w:pos="2999"/>
        </w:tabs>
        <w:ind w:left="2999" w:hanging="420"/>
      </w:pPr>
    </w:lvl>
    <w:lvl w:ilvl="3" w:tentative="0">
      <w:start w:val="1"/>
      <w:numFmt w:val="decimal"/>
      <w:lvlText w:val="%4."/>
      <w:lvlJc w:val="left"/>
      <w:pPr>
        <w:tabs>
          <w:tab w:val="left" w:pos="3419"/>
        </w:tabs>
        <w:ind w:left="3419" w:hanging="420"/>
      </w:pPr>
    </w:lvl>
    <w:lvl w:ilvl="4" w:tentative="0">
      <w:start w:val="1"/>
      <w:numFmt w:val="lowerLetter"/>
      <w:lvlText w:val="%5)"/>
      <w:lvlJc w:val="left"/>
      <w:pPr>
        <w:tabs>
          <w:tab w:val="left" w:pos="3839"/>
        </w:tabs>
        <w:ind w:left="3839" w:hanging="420"/>
      </w:pPr>
    </w:lvl>
    <w:lvl w:ilvl="5" w:tentative="0">
      <w:start w:val="1"/>
      <w:numFmt w:val="lowerRoman"/>
      <w:lvlText w:val="%6."/>
      <w:lvlJc w:val="right"/>
      <w:pPr>
        <w:tabs>
          <w:tab w:val="left" w:pos="4259"/>
        </w:tabs>
        <w:ind w:left="4259" w:hanging="420"/>
      </w:pPr>
    </w:lvl>
    <w:lvl w:ilvl="6" w:tentative="0">
      <w:start w:val="1"/>
      <w:numFmt w:val="decimal"/>
      <w:lvlText w:val="%7."/>
      <w:lvlJc w:val="left"/>
      <w:pPr>
        <w:tabs>
          <w:tab w:val="left" w:pos="4679"/>
        </w:tabs>
        <w:ind w:left="4679" w:hanging="420"/>
      </w:pPr>
    </w:lvl>
    <w:lvl w:ilvl="7" w:tentative="0">
      <w:start w:val="1"/>
      <w:numFmt w:val="lowerLetter"/>
      <w:lvlText w:val="%8)"/>
      <w:lvlJc w:val="left"/>
      <w:pPr>
        <w:tabs>
          <w:tab w:val="left" w:pos="5099"/>
        </w:tabs>
        <w:ind w:left="5099" w:hanging="420"/>
      </w:pPr>
    </w:lvl>
    <w:lvl w:ilvl="8" w:tentative="0">
      <w:start w:val="1"/>
      <w:numFmt w:val="lowerRoman"/>
      <w:lvlText w:val="%9."/>
      <w:lvlJc w:val="right"/>
      <w:pPr>
        <w:tabs>
          <w:tab w:val="left" w:pos="5519"/>
        </w:tabs>
        <w:ind w:left="5519" w:hanging="420"/>
      </w:pPr>
    </w:lvl>
  </w:abstractNum>
  <w:abstractNum w:abstractNumId="4">
    <w:nsid w:val="31E55D1C"/>
    <w:multiLevelType w:val="multilevel"/>
    <w:tmpl w:val="31E55D1C"/>
    <w:lvl w:ilvl="0" w:tentative="0">
      <w:start w:val="1"/>
      <w:numFmt w:val="decimal"/>
      <w:lvlText w:val="（%1）"/>
      <w:lvlJc w:val="left"/>
      <w:pPr>
        <w:tabs>
          <w:tab w:val="left" w:pos="2579"/>
        </w:tabs>
        <w:ind w:left="2579" w:hanging="420"/>
      </w:pPr>
      <w:rPr>
        <w:rFonts w:hint="eastAsia"/>
      </w:rPr>
    </w:lvl>
    <w:lvl w:ilvl="1" w:tentative="0">
      <w:start w:val="1"/>
      <w:numFmt w:val="lowerLetter"/>
      <w:lvlText w:val="%2)"/>
      <w:lvlJc w:val="left"/>
      <w:pPr>
        <w:tabs>
          <w:tab w:val="left" w:pos="2579"/>
        </w:tabs>
        <w:ind w:left="2579" w:hanging="420"/>
      </w:pPr>
    </w:lvl>
    <w:lvl w:ilvl="2" w:tentative="0">
      <w:start w:val="1"/>
      <w:numFmt w:val="lowerRoman"/>
      <w:lvlText w:val="%3."/>
      <w:lvlJc w:val="right"/>
      <w:pPr>
        <w:tabs>
          <w:tab w:val="left" w:pos="2999"/>
        </w:tabs>
        <w:ind w:left="2999" w:hanging="420"/>
      </w:pPr>
    </w:lvl>
    <w:lvl w:ilvl="3" w:tentative="0">
      <w:start w:val="1"/>
      <w:numFmt w:val="decimal"/>
      <w:lvlText w:val="%4."/>
      <w:lvlJc w:val="left"/>
      <w:pPr>
        <w:tabs>
          <w:tab w:val="left" w:pos="3419"/>
        </w:tabs>
        <w:ind w:left="3419" w:hanging="420"/>
      </w:pPr>
    </w:lvl>
    <w:lvl w:ilvl="4" w:tentative="0">
      <w:start w:val="1"/>
      <w:numFmt w:val="lowerLetter"/>
      <w:lvlText w:val="%5)"/>
      <w:lvlJc w:val="left"/>
      <w:pPr>
        <w:tabs>
          <w:tab w:val="left" w:pos="3839"/>
        </w:tabs>
        <w:ind w:left="3839" w:hanging="420"/>
      </w:pPr>
    </w:lvl>
    <w:lvl w:ilvl="5" w:tentative="0">
      <w:start w:val="1"/>
      <w:numFmt w:val="lowerRoman"/>
      <w:lvlText w:val="%6."/>
      <w:lvlJc w:val="right"/>
      <w:pPr>
        <w:tabs>
          <w:tab w:val="left" w:pos="4259"/>
        </w:tabs>
        <w:ind w:left="4259" w:hanging="420"/>
      </w:pPr>
    </w:lvl>
    <w:lvl w:ilvl="6" w:tentative="0">
      <w:start w:val="1"/>
      <w:numFmt w:val="decimal"/>
      <w:lvlText w:val="%7."/>
      <w:lvlJc w:val="left"/>
      <w:pPr>
        <w:tabs>
          <w:tab w:val="left" w:pos="4679"/>
        </w:tabs>
        <w:ind w:left="4679" w:hanging="420"/>
      </w:pPr>
    </w:lvl>
    <w:lvl w:ilvl="7" w:tentative="0">
      <w:start w:val="1"/>
      <w:numFmt w:val="lowerLetter"/>
      <w:lvlText w:val="%8)"/>
      <w:lvlJc w:val="left"/>
      <w:pPr>
        <w:tabs>
          <w:tab w:val="left" w:pos="5099"/>
        </w:tabs>
        <w:ind w:left="5099" w:hanging="420"/>
      </w:pPr>
    </w:lvl>
    <w:lvl w:ilvl="8" w:tentative="0">
      <w:start w:val="1"/>
      <w:numFmt w:val="lowerRoman"/>
      <w:lvlText w:val="%9."/>
      <w:lvlJc w:val="right"/>
      <w:pPr>
        <w:tabs>
          <w:tab w:val="left" w:pos="5519"/>
        </w:tabs>
        <w:ind w:left="5519" w:hanging="420"/>
      </w:pPr>
    </w:lvl>
  </w:abstractNum>
  <w:abstractNum w:abstractNumId="5">
    <w:nsid w:val="344625CD"/>
    <w:multiLevelType w:val="multilevel"/>
    <w:tmpl w:val="344625CD"/>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decimal"/>
      <w:lvlText w:val="（%5）"/>
      <w:lvlJc w:val="left"/>
      <w:pPr>
        <w:ind w:left="2520" w:hanging="420"/>
      </w:pPr>
      <w:rPr>
        <w:rFonts w:hint="eastAsia"/>
      </w:r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E0E3279"/>
    <w:multiLevelType w:val="multilevel"/>
    <w:tmpl w:val="4E0E3279"/>
    <w:lvl w:ilvl="0" w:tentative="0">
      <w:start w:val="1"/>
      <w:numFmt w:val="decimal"/>
      <w:lvlText w:val="%1."/>
      <w:lvlJc w:val="left"/>
      <w:pPr>
        <w:ind w:left="851" w:hanging="420"/>
      </w:pPr>
    </w:lvl>
    <w:lvl w:ilvl="1" w:tentative="0">
      <w:start w:val="1"/>
      <w:numFmt w:val="lowerLetter"/>
      <w:lvlText w:val="%2)"/>
      <w:lvlJc w:val="left"/>
      <w:pPr>
        <w:ind w:left="1271" w:hanging="420"/>
      </w:pPr>
    </w:lvl>
    <w:lvl w:ilvl="2" w:tentative="0">
      <w:start w:val="1"/>
      <w:numFmt w:val="lowerRoman"/>
      <w:lvlText w:val="%3."/>
      <w:lvlJc w:val="right"/>
      <w:pPr>
        <w:ind w:left="1691" w:hanging="420"/>
      </w:pPr>
    </w:lvl>
    <w:lvl w:ilvl="3" w:tentative="0">
      <w:start w:val="1"/>
      <w:numFmt w:val="decimal"/>
      <w:lvlText w:val="%4."/>
      <w:lvlJc w:val="left"/>
      <w:pPr>
        <w:ind w:left="2111" w:hanging="42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1F13226"/>
    <w:multiLevelType w:val="multilevel"/>
    <w:tmpl w:val="61F13226"/>
    <w:lvl w:ilvl="0" w:tentative="0">
      <w:start w:val="1"/>
      <w:numFmt w:val="decimal"/>
      <w:lvlText w:val="（%1）"/>
      <w:lvlJc w:val="left"/>
      <w:pPr>
        <w:tabs>
          <w:tab w:val="left" w:pos="2579"/>
        </w:tabs>
        <w:ind w:left="2579" w:hanging="420"/>
      </w:pPr>
      <w:rPr>
        <w:rFonts w:hint="eastAsia"/>
      </w:rPr>
    </w:lvl>
    <w:lvl w:ilvl="1" w:tentative="0">
      <w:start w:val="1"/>
      <w:numFmt w:val="lowerLetter"/>
      <w:lvlText w:val="%2)"/>
      <w:lvlJc w:val="left"/>
      <w:pPr>
        <w:tabs>
          <w:tab w:val="left" w:pos="2579"/>
        </w:tabs>
        <w:ind w:left="2579" w:hanging="420"/>
      </w:pPr>
    </w:lvl>
    <w:lvl w:ilvl="2" w:tentative="0">
      <w:start w:val="1"/>
      <w:numFmt w:val="lowerRoman"/>
      <w:lvlText w:val="%3."/>
      <w:lvlJc w:val="right"/>
      <w:pPr>
        <w:tabs>
          <w:tab w:val="left" w:pos="2999"/>
        </w:tabs>
        <w:ind w:left="2999" w:hanging="420"/>
      </w:pPr>
    </w:lvl>
    <w:lvl w:ilvl="3" w:tentative="0">
      <w:start w:val="1"/>
      <w:numFmt w:val="decimal"/>
      <w:lvlText w:val="%4."/>
      <w:lvlJc w:val="left"/>
      <w:pPr>
        <w:tabs>
          <w:tab w:val="left" w:pos="3419"/>
        </w:tabs>
        <w:ind w:left="3419" w:hanging="420"/>
      </w:pPr>
    </w:lvl>
    <w:lvl w:ilvl="4" w:tentative="0">
      <w:start w:val="1"/>
      <w:numFmt w:val="lowerLetter"/>
      <w:lvlText w:val="%5)"/>
      <w:lvlJc w:val="left"/>
      <w:pPr>
        <w:tabs>
          <w:tab w:val="left" w:pos="3839"/>
        </w:tabs>
        <w:ind w:left="3839" w:hanging="420"/>
      </w:pPr>
    </w:lvl>
    <w:lvl w:ilvl="5" w:tentative="0">
      <w:start w:val="1"/>
      <w:numFmt w:val="lowerRoman"/>
      <w:lvlText w:val="%6."/>
      <w:lvlJc w:val="right"/>
      <w:pPr>
        <w:tabs>
          <w:tab w:val="left" w:pos="4259"/>
        </w:tabs>
        <w:ind w:left="4259" w:hanging="420"/>
      </w:pPr>
    </w:lvl>
    <w:lvl w:ilvl="6" w:tentative="0">
      <w:start w:val="1"/>
      <w:numFmt w:val="decimal"/>
      <w:lvlText w:val="%7."/>
      <w:lvlJc w:val="left"/>
      <w:pPr>
        <w:tabs>
          <w:tab w:val="left" w:pos="4679"/>
        </w:tabs>
        <w:ind w:left="4679" w:hanging="420"/>
      </w:pPr>
    </w:lvl>
    <w:lvl w:ilvl="7" w:tentative="0">
      <w:start w:val="1"/>
      <w:numFmt w:val="lowerLetter"/>
      <w:lvlText w:val="%8)"/>
      <w:lvlJc w:val="left"/>
      <w:pPr>
        <w:tabs>
          <w:tab w:val="left" w:pos="5099"/>
        </w:tabs>
        <w:ind w:left="5099" w:hanging="420"/>
      </w:pPr>
    </w:lvl>
    <w:lvl w:ilvl="8" w:tentative="0">
      <w:start w:val="1"/>
      <w:numFmt w:val="lowerRoman"/>
      <w:lvlText w:val="%9."/>
      <w:lvlJc w:val="right"/>
      <w:pPr>
        <w:tabs>
          <w:tab w:val="left" w:pos="5519"/>
        </w:tabs>
        <w:ind w:left="5519" w:hanging="420"/>
      </w:pPr>
    </w:lvl>
  </w:abstractNum>
  <w:abstractNum w:abstractNumId="8">
    <w:nsid w:val="68EC9FCB"/>
    <w:multiLevelType w:val="singleLevel"/>
    <w:tmpl w:val="68EC9FCB"/>
    <w:lvl w:ilvl="0" w:tentative="0">
      <w:start w:val="9"/>
      <w:numFmt w:val="chineseCounting"/>
      <w:suff w:val="nothing"/>
      <w:lvlText w:val="%1、"/>
      <w:lvlJc w:val="left"/>
      <w:rPr>
        <w:rFonts w:hint="eastAsia"/>
      </w:rPr>
    </w:lvl>
  </w:abstractNum>
  <w:num w:numId="1">
    <w:abstractNumId w:val="8"/>
  </w:num>
  <w:num w:numId="2">
    <w:abstractNumId w:val="0"/>
  </w:num>
  <w:num w:numId="3">
    <w:abstractNumId w:val="5"/>
  </w:num>
  <w:num w:numId="4">
    <w:abstractNumId w:val="7"/>
  </w:num>
  <w:num w:numId="5">
    <w:abstractNumId w:val="1"/>
  </w:num>
  <w:num w:numId="6">
    <w:abstractNumId w:val="4"/>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Zjk5YWNkNmU4ZGZlZmEzMzFjZmYxNGE5OThlZDIifQ=="/>
  </w:docVars>
  <w:rsids>
    <w:rsidRoot w:val="431821FD"/>
    <w:rsid w:val="00000026"/>
    <w:rsid w:val="00003C29"/>
    <w:rsid w:val="000053C9"/>
    <w:rsid w:val="000070DE"/>
    <w:rsid w:val="00007AA3"/>
    <w:rsid w:val="00014CCB"/>
    <w:rsid w:val="0001696D"/>
    <w:rsid w:val="0001743D"/>
    <w:rsid w:val="0001778A"/>
    <w:rsid w:val="00020735"/>
    <w:rsid w:val="00020A8C"/>
    <w:rsid w:val="000212EA"/>
    <w:rsid w:val="00022AC6"/>
    <w:rsid w:val="00024B68"/>
    <w:rsid w:val="00024D2A"/>
    <w:rsid w:val="00026609"/>
    <w:rsid w:val="0003234C"/>
    <w:rsid w:val="00041876"/>
    <w:rsid w:val="00044E78"/>
    <w:rsid w:val="000507D2"/>
    <w:rsid w:val="00050E00"/>
    <w:rsid w:val="00053498"/>
    <w:rsid w:val="00055AB7"/>
    <w:rsid w:val="00055BDB"/>
    <w:rsid w:val="00062E91"/>
    <w:rsid w:val="00064C8B"/>
    <w:rsid w:val="00066B04"/>
    <w:rsid w:val="00067D36"/>
    <w:rsid w:val="0007266E"/>
    <w:rsid w:val="00080FBD"/>
    <w:rsid w:val="00084801"/>
    <w:rsid w:val="00085F3D"/>
    <w:rsid w:val="000945AB"/>
    <w:rsid w:val="00095D42"/>
    <w:rsid w:val="00095D5B"/>
    <w:rsid w:val="000A0A08"/>
    <w:rsid w:val="000B438E"/>
    <w:rsid w:val="000B6877"/>
    <w:rsid w:val="000C0861"/>
    <w:rsid w:val="000C2647"/>
    <w:rsid w:val="000C63CB"/>
    <w:rsid w:val="000C762A"/>
    <w:rsid w:val="000D3C36"/>
    <w:rsid w:val="000D4DCE"/>
    <w:rsid w:val="000D6B70"/>
    <w:rsid w:val="000E06AB"/>
    <w:rsid w:val="000E3B90"/>
    <w:rsid w:val="000E3C3D"/>
    <w:rsid w:val="000E6D06"/>
    <w:rsid w:val="000E74C7"/>
    <w:rsid w:val="000F39C9"/>
    <w:rsid w:val="000F639C"/>
    <w:rsid w:val="000F63F6"/>
    <w:rsid w:val="00101145"/>
    <w:rsid w:val="00106302"/>
    <w:rsid w:val="0011022F"/>
    <w:rsid w:val="001107A5"/>
    <w:rsid w:val="00110E6C"/>
    <w:rsid w:val="0011106C"/>
    <w:rsid w:val="0011627B"/>
    <w:rsid w:val="001169CB"/>
    <w:rsid w:val="0012069B"/>
    <w:rsid w:val="001220ED"/>
    <w:rsid w:val="001249C5"/>
    <w:rsid w:val="00125213"/>
    <w:rsid w:val="0012600F"/>
    <w:rsid w:val="0012636A"/>
    <w:rsid w:val="001266D8"/>
    <w:rsid w:val="00131F54"/>
    <w:rsid w:val="00132DC2"/>
    <w:rsid w:val="00133034"/>
    <w:rsid w:val="001356B3"/>
    <w:rsid w:val="00140B38"/>
    <w:rsid w:val="00142307"/>
    <w:rsid w:val="001442B7"/>
    <w:rsid w:val="0015019F"/>
    <w:rsid w:val="00153F50"/>
    <w:rsid w:val="001622D4"/>
    <w:rsid w:val="00163041"/>
    <w:rsid w:val="0018267E"/>
    <w:rsid w:val="0018339D"/>
    <w:rsid w:val="00185342"/>
    <w:rsid w:val="00190F1C"/>
    <w:rsid w:val="001955A8"/>
    <w:rsid w:val="0019579D"/>
    <w:rsid w:val="001971F1"/>
    <w:rsid w:val="001A2882"/>
    <w:rsid w:val="001A2AEF"/>
    <w:rsid w:val="001B30A9"/>
    <w:rsid w:val="001B4770"/>
    <w:rsid w:val="001B4A15"/>
    <w:rsid w:val="001B4BA1"/>
    <w:rsid w:val="001C2781"/>
    <w:rsid w:val="001C31BD"/>
    <w:rsid w:val="001D0372"/>
    <w:rsid w:val="001D6F1B"/>
    <w:rsid w:val="001E0220"/>
    <w:rsid w:val="001E0B76"/>
    <w:rsid w:val="001E5B7A"/>
    <w:rsid w:val="001E655B"/>
    <w:rsid w:val="001E6A3A"/>
    <w:rsid w:val="0021190F"/>
    <w:rsid w:val="00220386"/>
    <w:rsid w:val="00221C98"/>
    <w:rsid w:val="00224C2B"/>
    <w:rsid w:val="00224D85"/>
    <w:rsid w:val="00230890"/>
    <w:rsid w:val="00233854"/>
    <w:rsid w:val="00235D0D"/>
    <w:rsid w:val="00240594"/>
    <w:rsid w:val="0024191D"/>
    <w:rsid w:val="0024224E"/>
    <w:rsid w:val="00247732"/>
    <w:rsid w:val="0025272F"/>
    <w:rsid w:val="0025609F"/>
    <w:rsid w:val="00256FF4"/>
    <w:rsid w:val="00260806"/>
    <w:rsid w:val="00262090"/>
    <w:rsid w:val="00265330"/>
    <w:rsid w:val="0027361A"/>
    <w:rsid w:val="00273E2E"/>
    <w:rsid w:val="00276175"/>
    <w:rsid w:val="002774E2"/>
    <w:rsid w:val="00277B90"/>
    <w:rsid w:val="00281E27"/>
    <w:rsid w:val="00283207"/>
    <w:rsid w:val="00286E46"/>
    <w:rsid w:val="00287634"/>
    <w:rsid w:val="0028788D"/>
    <w:rsid w:val="00291243"/>
    <w:rsid w:val="00291796"/>
    <w:rsid w:val="002949F7"/>
    <w:rsid w:val="002A1CF6"/>
    <w:rsid w:val="002A1DEB"/>
    <w:rsid w:val="002A605C"/>
    <w:rsid w:val="002B264C"/>
    <w:rsid w:val="002B65C9"/>
    <w:rsid w:val="002B7934"/>
    <w:rsid w:val="002C51AA"/>
    <w:rsid w:val="002C5529"/>
    <w:rsid w:val="002D624A"/>
    <w:rsid w:val="002D6C34"/>
    <w:rsid w:val="002E0AD2"/>
    <w:rsid w:val="002E66C1"/>
    <w:rsid w:val="002F0B36"/>
    <w:rsid w:val="002F27FE"/>
    <w:rsid w:val="002F51B2"/>
    <w:rsid w:val="002F66F4"/>
    <w:rsid w:val="002F7721"/>
    <w:rsid w:val="002F7BFC"/>
    <w:rsid w:val="003001A5"/>
    <w:rsid w:val="00301152"/>
    <w:rsid w:val="003014D7"/>
    <w:rsid w:val="00302749"/>
    <w:rsid w:val="00305E15"/>
    <w:rsid w:val="00306716"/>
    <w:rsid w:val="00307084"/>
    <w:rsid w:val="00314ABF"/>
    <w:rsid w:val="00314FA2"/>
    <w:rsid w:val="00315531"/>
    <w:rsid w:val="00316D23"/>
    <w:rsid w:val="00317C50"/>
    <w:rsid w:val="003245DE"/>
    <w:rsid w:val="003271FE"/>
    <w:rsid w:val="003312EC"/>
    <w:rsid w:val="00331512"/>
    <w:rsid w:val="0033340F"/>
    <w:rsid w:val="0034225C"/>
    <w:rsid w:val="0034467A"/>
    <w:rsid w:val="0035122C"/>
    <w:rsid w:val="00351364"/>
    <w:rsid w:val="003534D5"/>
    <w:rsid w:val="00363567"/>
    <w:rsid w:val="003667B5"/>
    <w:rsid w:val="00366E62"/>
    <w:rsid w:val="00366E99"/>
    <w:rsid w:val="00373716"/>
    <w:rsid w:val="00375574"/>
    <w:rsid w:val="00377480"/>
    <w:rsid w:val="00382A7F"/>
    <w:rsid w:val="00385440"/>
    <w:rsid w:val="003867F5"/>
    <w:rsid w:val="00386958"/>
    <w:rsid w:val="00386A2D"/>
    <w:rsid w:val="00386BD1"/>
    <w:rsid w:val="00390F4E"/>
    <w:rsid w:val="00397844"/>
    <w:rsid w:val="003A10A0"/>
    <w:rsid w:val="003A2610"/>
    <w:rsid w:val="003A672D"/>
    <w:rsid w:val="003A7DF8"/>
    <w:rsid w:val="003B04BC"/>
    <w:rsid w:val="003B4214"/>
    <w:rsid w:val="003B6687"/>
    <w:rsid w:val="003B6EC7"/>
    <w:rsid w:val="003C2928"/>
    <w:rsid w:val="003D2235"/>
    <w:rsid w:val="003D7CCC"/>
    <w:rsid w:val="003D7D53"/>
    <w:rsid w:val="003E3B12"/>
    <w:rsid w:val="003E6403"/>
    <w:rsid w:val="003F13CA"/>
    <w:rsid w:val="003F1947"/>
    <w:rsid w:val="003F5CD8"/>
    <w:rsid w:val="004114FD"/>
    <w:rsid w:val="0041151E"/>
    <w:rsid w:val="00411EA7"/>
    <w:rsid w:val="004135B8"/>
    <w:rsid w:val="00413FEA"/>
    <w:rsid w:val="00417A7F"/>
    <w:rsid w:val="0042006D"/>
    <w:rsid w:val="0042428D"/>
    <w:rsid w:val="0043563F"/>
    <w:rsid w:val="00442796"/>
    <w:rsid w:val="0044776A"/>
    <w:rsid w:val="00451882"/>
    <w:rsid w:val="00454352"/>
    <w:rsid w:val="00454BAD"/>
    <w:rsid w:val="00457CB1"/>
    <w:rsid w:val="0046050F"/>
    <w:rsid w:val="00461318"/>
    <w:rsid w:val="004624C2"/>
    <w:rsid w:val="004626B4"/>
    <w:rsid w:val="00481AB2"/>
    <w:rsid w:val="00482E79"/>
    <w:rsid w:val="00493B2F"/>
    <w:rsid w:val="00493D11"/>
    <w:rsid w:val="00495DC6"/>
    <w:rsid w:val="004A1525"/>
    <w:rsid w:val="004B05A8"/>
    <w:rsid w:val="004B318E"/>
    <w:rsid w:val="004B405C"/>
    <w:rsid w:val="004B5C27"/>
    <w:rsid w:val="004B63C0"/>
    <w:rsid w:val="004B6CF7"/>
    <w:rsid w:val="004B7CB3"/>
    <w:rsid w:val="004C12B7"/>
    <w:rsid w:val="004C6EEF"/>
    <w:rsid w:val="004D48B6"/>
    <w:rsid w:val="004D4FF8"/>
    <w:rsid w:val="004D5387"/>
    <w:rsid w:val="004D6526"/>
    <w:rsid w:val="004D6755"/>
    <w:rsid w:val="004E0DD2"/>
    <w:rsid w:val="004E303B"/>
    <w:rsid w:val="004E5C34"/>
    <w:rsid w:val="004E6089"/>
    <w:rsid w:val="004E6FB7"/>
    <w:rsid w:val="004F0928"/>
    <w:rsid w:val="004F1209"/>
    <w:rsid w:val="004F629B"/>
    <w:rsid w:val="004F6BE8"/>
    <w:rsid w:val="005028B6"/>
    <w:rsid w:val="00505B52"/>
    <w:rsid w:val="00510770"/>
    <w:rsid w:val="00513100"/>
    <w:rsid w:val="005138F7"/>
    <w:rsid w:val="00516546"/>
    <w:rsid w:val="00517DCE"/>
    <w:rsid w:val="00520217"/>
    <w:rsid w:val="0053269A"/>
    <w:rsid w:val="00534CEA"/>
    <w:rsid w:val="0053534B"/>
    <w:rsid w:val="00536448"/>
    <w:rsid w:val="0054016C"/>
    <w:rsid w:val="00540271"/>
    <w:rsid w:val="00547395"/>
    <w:rsid w:val="005620E9"/>
    <w:rsid w:val="00563B9E"/>
    <w:rsid w:val="00566FF1"/>
    <w:rsid w:val="005704CA"/>
    <w:rsid w:val="00574CCF"/>
    <w:rsid w:val="00583112"/>
    <w:rsid w:val="0058340D"/>
    <w:rsid w:val="005A0125"/>
    <w:rsid w:val="005A1D7B"/>
    <w:rsid w:val="005A1FA8"/>
    <w:rsid w:val="005A7B25"/>
    <w:rsid w:val="005B7BFD"/>
    <w:rsid w:val="005B7D93"/>
    <w:rsid w:val="005C60D6"/>
    <w:rsid w:val="005D4050"/>
    <w:rsid w:val="005D6540"/>
    <w:rsid w:val="005E785E"/>
    <w:rsid w:val="006038F6"/>
    <w:rsid w:val="00604956"/>
    <w:rsid w:val="00605083"/>
    <w:rsid w:val="00606A65"/>
    <w:rsid w:val="006075F0"/>
    <w:rsid w:val="00607C35"/>
    <w:rsid w:val="006118F5"/>
    <w:rsid w:val="00611B09"/>
    <w:rsid w:val="00613004"/>
    <w:rsid w:val="00614EBA"/>
    <w:rsid w:val="00617425"/>
    <w:rsid w:val="00617927"/>
    <w:rsid w:val="00621824"/>
    <w:rsid w:val="00624E78"/>
    <w:rsid w:val="00626BF4"/>
    <w:rsid w:val="00626CCB"/>
    <w:rsid w:val="00636481"/>
    <w:rsid w:val="0065092B"/>
    <w:rsid w:val="006525A9"/>
    <w:rsid w:val="006570EE"/>
    <w:rsid w:val="0066106A"/>
    <w:rsid w:val="00662647"/>
    <w:rsid w:val="00671AC9"/>
    <w:rsid w:val="00680FC5"/>
    <w:rsid w:val="0068609C"/>
    <w:rsid w:val="006932E7"/>
    <w:rsid w:val="006944F3"/>
    <w:rsid w:val="00696E93"/>
    <w:rsid w:val="006A0616"/>
    <w:rsid w:val="006A0BBB"/>
    <w:rsid w:val="006A6647"/>
    <w:rsid w:val="006B33CB"/>
    <w:rsid w:val="006B4CAB"/>
    <w:rsid w:val="006B51B9"/>
    <w:rsid w:val="006B77F2"/>
    <w:rsid w:val="006D2250"/>
    <w:rsid w:val="006D5ADC"/>
    <w:rsid w:val="006D720F"/>
    <w:rsid w:val="006E1901"/>
    <w:rsid w:val="006E269E"/>
    <w:rsid w:val="006E5743"/>
    <w:rsid w:val="006F374B"/>
    <w:rsid w:val="006F3EDC"/>
    <w:rsid w:val="006F4400"/>
    <w:rsid w:val="006F454B"/>
    <w:rsid w:val="00703876"/>
    <w:rsid w:val="00704534"/>
    <w:rsid w:val="00704AFD"/>
    <w:rsid w:val="00706A90"/>
    <w:rsid w:val="007079D8"/>
    <w:rsid w:val="00707A7D"/>
    <w:rsid w:val="00710994"/>
    <w:rsid w:val="00711059"/>
    <w:rsid w:val="007118DE"/>
    <w:rsid w:val="00712DA6"/>
    <w:rsid w:val="007173FE"/>
    <w:rsid w:val="00722CD6"/>
    <w:rsid w:val="00724488"/>
    <w:rsid w:val="0072631D"/>
    <w:rsid w:val="0073164F"/>
    <w:rsid w:val="00734BA8"/>
    <w:rsid w:val="00735E14"/>
    <w:rsid w:val="00740331"/>
    <w:rsid w:val="00744905"/>
    <w:rsid w:val="00746289"/>
    <w:rsid w:val="0075018A"/>
    <w:rsid w:val="00750C6A"/>
    <w:rsid w:val="00750C8F"/>
    <w:rsid w:val="00751D7C"/>
    <w:rsid w:val="0075615B"/>
    <w:rsid w:val="00761A11"/>
    <w:rsid w:val="007666DF"/>
    <w:rsid w:val="00767528"/>
    <w:rsid w:val="00767E7D"/>
    <w:rsid w:val="00771BCA"/>
    <w:rsid w:val="007876E5"/>
    <w:rsid w:val="007900BB"/>
    <w:rsid w:val="00792164"/>
    <w:rsid w:val="00794108"/>
    <w:rsid w:val="007954E4"/>
    <w:rsid w:val="007962BF"/>
    <w:rsid w:val="007A2F20"/>
    <w:rsid w:val="007B0F7E"/>
    <w:rsid w:val="007B6E91"/>
    <w:rsid w:val="007C1999"/>
    <w:rsid w:val="007C43B0"/>
    <w:rsid w:val="007C5FAA"/>
    <w:rsid w:val="007D2255"/>
    <w:rsid w:val="007D2940"/>
    <w:rsid w:val="007D2C41"/>
    <w:rsid w:val="007D71C4"/>
    <w:rsid w:val="007D7640"/>
    <w:rsid w:val="007E387F"/>
    <w:rsid w:val="007E4347"/>
    <w:rsid w:val="007E4CB9"/>
    <w:rsid w:val="007E5443"/>
    <w:rsid w:val="007F1630"/>
    <w:rsid w:val="007F3516"/>
    <w:rsid w:val="007F5033"/>
    <w:rsid w:val="007F7F29"/>
    <w:rsid w:val="00812771"/>
    <w:rsid w:val="00814604"/>
    <w:rsid w:val="0082015C"/>
    <w:rsid w:val="008320D7"/>
    <w:rsid w:val="00832242"/>
    <w:rsid w:val="00833020"/>
    <w:rsid w:val="008335C4"/>
    <w:rsid w:val="008362DB"/>
    <w:rsid w:val="00837131"/>
    <w:rsid w:val="00840571"/>
    <w:rsid w:val="008424E3"/>
    <w:rsid w:val="008453BE"/>
    <w:rsid w:val="008522DA"/>
    <w:rsid w:val="008540A9"/>
    <w:rsid w:val="00856D12"/>
    <w:rsid w:val="00863C28"/>
    <w:rsid w:val="008641D8"/>
    <w:rsid w:val="00865BAE"/>
    <w:rsid w:val="008700B2"/>
    <w:rsid w:val="00870281"/>
    <w:rsid w:val="00872005"/>
    <w:rsid w:val="008743B5"/>
    <w:rsid w:val="008764F7"/>
    <w:rsid w:val="0087655C"/>
    <w:rsid w:val="00883138"/>
    <w:rsid w:val="00884353"/>
    <w:rsid w:val="008A0BC8"/>
    <w:rsid w:val="008A2233"/>
    <w:rsid w:val="008A613E"/>
    <w:rsid w:val="008A7B1F"/>
    <w:rsid w:val="008B28FE"/>
    <w:rsid w:val="008B2D4F"/>
    <w:rsid w:val="008C0344"/>
    <w:rsid w:val="008C1E1B"/>
    <w:rsid w:val="008C2958"/>
    <w:rsid w:val="008C64FF"/>
    <w:rsid w:val="008D08CB"/>
    <w:rsid w:val="008D1857"/>
    <w:rsid w:val="008E5AF3"/>
    <w:rsid w:val="008E69FA"/>
    <w:rsid w:val="008F2DBB"/>
    <w:rsid w:val="008F3136"/>
    <w:rsid w:val="008F48FB"/>
    <w:rsid w:val="008F5892"/>
    <w:rsid w:val="008F7619"/>
    <w:rsid w:val="008F7DDE"/>
    <w:rsid w:val="00901FF8"/>
    <w:rsid w:val="009040CF"/>
    <w:rsid w:val="00905037"/>
    <w:rsid w:val="00911CDA"/>
    <w:rsid w:val="009140CE"/>
    <w:rsid w:val="0092095F"/>
    <w:rsid w:val="0092360E"/>
    <w:rsid w:val="00926F18"/>
    <w:rsid w:val="00930F1A"/>
    <w:rsid w:val="00931439"/>
    <w:rsid w:val="00931BAD"/>
    <w:rsid w:val="00933CBF"/>
    <w:rsid w:val="00936960"/>
    <w:rsid w:val="00940FD4"/>
    <w:rsid w:val="0095517A"/>
    <w:rsid w:val="0095532F"/>
    <w:rsid w:val="009569FF"/>
    <w:rsid w:val="00957023"/>
    <w:rsid w:val="00957363"/>
    <w:rsid w:val="009668BB"/>
    <w:rsid w:val="0097699D"/>
    <w:rsid w:val="009833F8"/>
    <w:rsid w:val="00984C82"/>
    <w:rsid w:val="00987AEB"/>
    <w:rsid w:val="00991E57"/>
    <w:rsid w:val="0099302D"/>
    <w:rsid w:val="009A1585"/>
    <w:rsid w:val="009A1A39"/>
    <w:rsid w:val="009A27EC"/>
    <w:rsid w:val="009A2AF9"/>
    <w:rsid w:val="009A2C78"/>
    <w:rsid w:val="009A2EB2"/>
    <w:rsid w:val="009A316B"/>
    <w:rsid w:val="009A5612"/>
    <w:rsid w:val="009A7BE9"/>
    <w:rsid w:val="009B2043"/>
    <w:rsid w:val="009B6B45"/>
    <w:rsid w:val="009C305E"/>
    <w:rsid w:val="009C39F8"/>
    <w:rsid w:val="009C6674"/>
    <w:rsid w:val="009D018F"/>
    <w:rsid w:val="009D1744"/>
    <w:rsid w:val="009D17AB"/>
    <w:rsid w:val="009D65B7"/>
    <w:rsid w:val="009E2B19"/>
    <w:rsid w:val="009E35A8"/>
    <w:rsid w:val="009E50B0"/>
    <w:rsid w:val="009E5338"/>
    <w:rsid w:val="009E5EB7"/>
    <w:rsid w:val="009E6908"/>
    <w:rsid w:val="009E7666"/>
    <w:rsid w:val="009F489C"/>
    <w:rsid w:val="00A027CB"/>
    <w:rsid w:val="00A05BC6"/>
    <w:rsid w:val="00A067BF"/>
    <w:rsid w:val="00A15011"/>
    <w:rsid w:val="00A1764D"/>
    <w:rsid w:val="00A22663"/>
    <w:rsid w:val="00A22F04"/>
    <w:rsid w:val="00A268A9"/>
    <w:rsid w:val="00A27A53"/>
    <w:rsid w:val="00A313A8"/>
    <w:rsid w:val="00A44C68"/>
    <w:rsid w:val="00A47A2F"/>
    <w:rsid w:val="00A531E1"/>
    <w:rsid w:val="00A547D7"/>
    <w:rsid w:val="00A57D0D"/>
    <w:rsid w:val="00A6056A"/>
    <w:rsid w:val="00A61B76"/>
    <w:rsid w:val="00A626C7"/>
    <w:rsid w:val="00A630CA"/>
    <w:rsid w:val="00A70667"/>
    <w:rsid w:val="00A72564"/>
    <w:rsid w:val="00A7402E"/>
    <w:rsid w:val="00A80689"/>
    <w:rsid w:val="00A82390"/>
    <w:rsid w:val="00A86EA6"/>
    <w:rsid w:val="00A879C2"/>
    <w:rsid w:val="00A90B1A"/>
    <w:rsid w:val="00A95BD5"/>
    <w:rsid w:val="00A96576"/>
    <w:rsid w:val="00AA604E"/>
    <w:rsid w:val="00AA6716"/>
    <w:rsid w:val="00AB128D"/>
    <w:rsid w:val="00AB2407"/>
    <w:rsid w:val="00AB26AC"/>
    <w:rsid w:val="00AB45F3"/>
    <w:rsid w:val="00AC67D2"/>
    <w:rsid w:val="00AC7704"/>
    <w:rsid w:val="00AC7925"/>
    <w:rsid w:val="00AC7F29"/>
    <w:rsid w:val="00AD18E1"/>
    <w:rsid w:val="00AE1193"/>
    <w:rsid w:val="00AE4F45"/>
    <w:rsid w:val="00AE4F77"/>
    <w:rsid w:val="00AE7DA2"/>
    <w:rsid w:val="00AF0996"/>
    <w:rsid w:val="00AF4365"/>
    <w:rsid w:val="00B00FF7"/>
    <w:rsid w:val="00B05426"/>
    <w:rsid w:val="00B13A7F"/>
    <w:rsid w:val="00B14524"/>
    <w:rsid w:val="00B17AD3"/>
    <w:rsid w:val="00B21319"/>
    <w:rsid w:val="00B31812"/>
    <w:rsid w:val="00B34F34"/>
    <w:rsid w:val="00B44585"/>
    <w:rsid w:val="00B47FEE"/>
    <w:rsid w:val="00B53BEF"/>
    <w:rsid w:val="00B53F7A"/>
    <w:rsid w:val="00B56ADF"/>
    <w:rsid w:val="00B61BE0"/>
    <w:rsid w:val="00B62ED5"/>
    <w:rsid w:val="00B632B4"/>
    <w:rsid w:val="00B63351"/>
    <w:rsid w:val="00B6484B"/>
    <w:rsid w:val="00B655B7"/>
    <w:rsid w:val="00B727AA"/>
    <w:rsid w:val="00B74CF9"/>
    <w:rsid w:val="00B901B9"/>
    <w:rsid w:val="00B90CEB"/>
    <w:rsid w:val="00B96DF6"/>
    <w:rsid w:val="00BA1DD7"/>
    <w:rsid w:val="00BA58DA"/>
    <w:rsid w:val="00BB38B1"/>
    <w:rsid w:val="00BB44EC"/>
    <w:rsid w:val="00BB52FA"/>
    <w:rsid w:val="00BB60CC"/>
    <w:rsid w:val="00BB6F18"/>
    <w:rsid w:val="00BB710E"/>
    <w:rsid w:val="00BD1F85"/>
    <w:rsid w:val="00BD276D"/>
    <w:rsid w:val="00BD33DC"/>
    <w:rsid w:val="00BD36E7"/>
    <w:rsid w:val="00BD3732"/>
    <w:rsid w:val="00BD4F98"/>
    <w:rsid w:val="00BD5EE6"/>
    <w:rsid w:val="00BD79F5"/>
    <w:rsid w:val="00BE1079"/>
    <w:rsid w:val="00BE232B"/>
    <w:rsid w:val="00BE76BB"/>
    <w:rsid w:val="00BF1025"/>
    <w:rsid w:val="00BF1915"/>
    <w:rsid w:val="00BF31ED"/>
    <w:rsid w:val="00BF433B"/>
    <w:rsid w:val="00BF59B4"/>
    <w:rsid w:val="00BF6D79"/>
    <w:rsid w:val="00BF7121"/>
    <w:rsid w:val="00C00679"/>
    <w:rsid w:val="00C024A8"/>
    <w:rsid w:val="00C04D08"/>
    <w:rsid w:val="00C10F45"/>
    <w:rsid w:val="00C1299E"/>
    <w:rsid w:val="00C13952"/>
    <w:rsid w:val="00C16D22"/>
    <w:rsid w:val="00C2006B"/>
    <w:rsid w:val="00C200D7"/>
    <w:rsid w:val="00C203EF"/>
    <w:rsid w:val="00C2424A"/>
    <w:rsid w:val="00C251F1"/>
    <w:rsid w:val="00C32B8F"/>
    <w:rsid w:val="00C3554E"/>
    <w:rsid w:val="00C35A18"/>
    <w:rsid w:val="00C363CE"/>
    <w:rsid w:val="00C37BB1"/>
    <w:rsid w:val="00C4215C"/>
    <w:rsid w:val="00C43642"/>
    <w:rsid w:val="00C444C3"/>
    <w:rsid w:val="00C44803"/>
    <w:rsid w:val="00C501B9"/>
    <w:rsid w:val="00C56C38"/>
    <w:rsid w:val="00C634A4"/>
    <w:rsid w:val="00C65089"/>
    <w:rsid w:val="00C72CD8"/>
    <w:rsid w:val="00C77237"/>
    <w:rsid w:val="00C8384A"/>
    <w:rsid w:val="00C84E1B"/>
    <w:rsid w:val="00C85835"/>
    <w:rsid w:val="00C90C46"/>
    <w:rsid w:val="00C91B5E"/>
    <w:rsid w:val="00C949AC"/>
    <w:rsid w:val="00CA03D3"/>
    <w:rsid w:val="00CA198E"/>
    <w:rsid w:val="00CA73A0"/>
    <w:rsid w:val="00CB299E"/>
    <w:rsid w:val="00CC1271"/>
    <w:rsid w:val="00CC2544"/>
    <w:rsid w:val="00CC3593"/>
    <w:rsid w:val="00CC5EBC"/>
    <w:rsid w:val="00CD268E"/>
    <w:rsid w:val="00CD3220"/>
    <w:rsid w:val="00CE001F"/>
    <w:rsid w:val="00CE0812"/>
    <w:rsid w:val="00CF08C8"/>
    <w:rsid w:val="00CF3E98"/>
    <w:rsid w:val="00CF5E68"/>
    <w:rsid w:val="00CF6A73"/>
    <w:rsid w:val="00D01674"/>
    <w:rsid w:val="00D06541"/>
    <w:rsid w:val="00D12617"/>
    <w:rsid w:val="00D12794"/>
    <w:rsid w:val="00D13933"/>
    <w:rsid w:val="00D153AD"/>
    <w:rsid w:val="00D17733"/>
    <w:rsid w:val="00D2048C"/>
    <w:rsid w:val="00D21D7D"/>
    <w:rsid w:val="00D25339"/>
    <w:rsid w:val="00D27BCC"/>
    <w:rsid w:val="00D318E4"/>
    <w:rsid w:val="00D32F80"/>
    <w:rsid w:val="00D350C1"/>
    <w:rsid w:val="00D3703C"/>
    <w:rsid w:val="00D40057"/>
    <w:rsid w:val="00D407D5"/>
    <w:rsid w:val="00D51F3E"/>
    <w:rsid w:val="00D5435B"/>
    <w:rsid w:val="00D60E00"/>
    <w:rsid w:val="00D621A4"/>
    <w:rsid w:val="00D62970"/>
    <w:rsid w:val="00D64763"/>
    <w:rsid w:val="00D7276E"/>
    <w:rsid w:val="00D731E5"/>
    <w:rsid w:val="00D73963"/>
    <w:rsid w:val="00D75A3D"/>
    <w:rsid w:val="00D80530"/>
    <w:rsid w:val="00D8189E"/>
    <w:rsid w:val="00D83224"/>
    <w:rsid w:val="00D83821"/>
    <w:rsid w:val="00D84E32"/>
    <w:rsid w:val="00D879DD"/>
    <w:rsid w:val="00D96831"/>
    <w:rsid w:val="00D971FF"/>
    <w:rsid w:val="00DA709B"/>
    <w:rsid w:val="00DA7B45"/>
    <w:rsid w:val="00DB32A2"/>
    <w:rsid w:val="00DB44AE"/>
    <w:rsid w:val="00DC31E5"/>
    <w:rsid w:val="00DD36EE"/>
    <w:rsid w:val="00DF349A"/>
    <w:rsid w:val="00DF5173"/>
    <w:rsid w:val="00DF7045"/>
    <w:rsid w:val="00E00043"/>
    <w:rsid w:val="00E04168"/>
    <w:rsid w:val="00E06045"/>
    <w:rsid w:val="00E0610D"/>
    <w:rsid w:val="00E15511"/>
    <w:rsid w:val="00E20083"/>
    <w:rsid w:val="00E2056D"/>
    <w:rsid w:val="00E206CA"/>
    <w:rsid w:val="00E244B4"/>
    <w:rsid w:val="00E25A3A"/>
    <w:rsid w:val="00E25E52"/>
    <w:rsid w:val="00E267A4"/>
    <w:rsid w:val="00E304DD"/>
    <w:rsid w:val="00E34D92"/>
    <w:rsid w:val="00E35E25"/>
    <w:rsid w:val="00E368F1"/>
    <w:rsid w:val="00E37439"/>
    <w:rsid w:val="00E411BD"/>
    <w:rsid w:val="00E548E6"/>
    <w:rsid w:val="00E550A9"/>
    <w:rsid w:val="00E60266"/>
    <w:rsid w:val="00E6138F"/>
    <w:rsid w:val="00E6388E"/>
    <w:rsid w:val="00E65B2E"/>
    <w:rsid w:val="00E72CED"/>
    <w:rsid w:val="00E7492E"/>
    <w:rsid w:val="00E7653E"/>
    <w:rsid w:val="00E83153"/>
    <w:rsid w:val="00E8364C"/>
    <w:rsid w:val="00E8584D"/>
    <w:rsid w:val="00E85BD4"/>
    <w:rsid w:val="00E87979"/>
    <w:rsid w:val="00E91EAF"/>
    <w:rsid w:val="00E9321B"/>
    <w:rsid w:val="00E956CD"/>
    <w:rsid w:val="00E960B7"/>
    <w:rsid w:val="00E96C6C"/>
    <w:rsid w:val="00E979A1"/>
    <w:rsid w:val="00EA2BCD"/>
    <w:rsid w:val="00EA6A2C"/>
    <w:rsid w:val="00EA6E9C"/>
    <w:rsid w:val="00EA6F55"/>
    <w:rsid w:val="00EB0258"/>
    <w:rsid w:val="00EB1B51"/>
    <w:rsid w:val="00EB6723"/>
    <w:rsid w:val="00EB6D88"/>
    <w:rsid w:val="00EC024A"/>
    <w:rsid w:val="00EC2D37"/>
    <w:rsid w:val="00ED1793"/>
    <w:rsid w:val="00ED40FC"/>
    <w:rsid w:val="00ED437D"/>
    <w:rsid w:val="00ED4F45"/>
    <w:rsid w:val="00EE2BA1"/>
    <w:rsid w:val="00EE2C98"/>
    <w:rsid w:val="00EE302F"/>
    <w:rsid w:val="00EE66E2"/>
    <w:rsid w:val="00EE7BBF"/>
    <w:rsid w:val="00EF0703"/>
    <w:rsid w:val="00EF2D23"/>
    <w:rsid w:val="00EF49A6"/>
    <w:rsid w:val="00EF681C"/>
    <w:rsid w:val="00F01588"/>
    <w:rsid w:val="00F03E50"/>
    <w:rsid w:val="00F1681E"/>
    <w:rsid w:val="00F20D69"/>
    <w:rsid w:val="00F21811"/>
    <w:rsid w:val="00F23F66"/>
    <w:rsid w:val="00F27F0D"/>
    <w:rsid w:val="00F27FCE"/>
    <w:rsid w:val="00F3131E"/>
    <w:rsid w:val="00F3326C"/>
    <w:rsid w:val="00F34E69"/>
    <w:rsid w:val="00F4134F"/>
    <w:rsid w:val="00F435D0"/>
    <w:rsid w:val="00F46140"/>
    <w:rsid w:val="00F52BCF"/>
    <w:rsid w:val="00F53260"/>
    <w:rsid w:val="00F56768"/>
    <w:rsid w:val="00F56D67"/>
    <w:rsid w:val="00F72981"/>
    <w:rsid w:val="00F737AE"/>
    <w:rsid w:val="00F75BC4"/>
    <w:rsid w:val="00F76698"/>
    <w:rsid w:val="00F82044"/>
    <w:rsid w:val="00F83EEB"/>
    <w:rsid w:val="00F84557"/>
    <w:rsid w:val="00F859EC"/>
    <w:rsid w:val="00F91ED0"/>
    <w:rsid w:val="00F92DC8"/>
    <w:rsid w:val="00F92FF4"/>
    <w:rsid w:val="00F93B01"/>
    <w:rsid w:val="00FA1E4E"/>
    <w:rsid w:val="00FA4840"/>
    <w:rsid w:val="00FA4C38"/>
    <w:rsid w:val="00FB0113"/>
    <w:rsid w:val="00FB3515"/>
    <w:rsid w:val="00FB73F4"/>
    <w:rsid w:val="00FB77EF"/>
    <w:rsid w:val="00FC023F"/>
    <w:rsid w:val="00FC088F"/>
    <w:rsid w:val="00FC378A"/>
    <w:rsid w:val="00FC4667"/>
    <w:rsid w:val="00FC667A"/>
    <w:rsid w:val="00FD4F01"/>
    <w:rsid w:val="00FD59F1"/>
    <w:rsid w:val="00FD67E2"/>
    <w:rsid w:val="00FD67F3"/>
    <w:rsid w:val="00FE1A67"/>
    <w:rsid w:val="00FF52F6"/>
    <w:rsid w:val="0104601F"/>
    <w:rsid w:val="010F6095"/>
    <w:rsid w:val="011E5489"/>
    <w:rsid w:val="013875BE"/>
    <w:rsid w:val="014914A9"/>
    <w:rsid w:val="01597935"/>
    <w:rsid w:val="01846A32"/>
    <w:rsid w:val="01A97983"/>
    <w:rsid w:val="01B318D9"/>
    <w:rsid w:val="01CF42F7"/>
    <w:rsid w:val="01F5455B"/>
    <w:rsid w:val="01FA2DB1"/>
    <w:rsid w:val="022C7851"/>
    <w:rsid w:val="02585891"/>
    <w:rsid w:val="027F3E3F"/>
    <w:rsid w:val="028B7D2E"/>
    <w:rsid w:val="02993EBC"/>
    <w:rsid w:val="032647F0"/>
    <w:rsid w:val="032A3B60"/>
    <w:rsid w:val="032D5F0D"/>
    <w:rsid w:val="03373831"/>
    <w:rsid w:val="03617CB6"/>
    <w:rsid w:val="036D3512"/>
    <w:rsid w:val="03930A6A"/>
    <w:rsid w:val="03C36B88"/>
    <w:rsid w:val="03DB4487"/>
    <w:rsid w:val="04012E49"/>
    <w:rsid w:val="04142757"/>
    <w:rsid w:val="04310280"/>
    <w:rsid w:val="04423849"/>
    <w:rsid w:val="04617FF2"/>
    <w:rsid w:val="04697F2D"/>
    <w:rsid w:val="04892F19"/>
    <w:rsid w:val="048F78B6"/>
    <w:rsid w:val="04A22FC2"/>
    <w:rsid w:val="04AA1393"/>
    <w:rsid w:val="04DA03E3"/>
    <w:rsid w:val="04E2171F"/>
    <w:rsid w:val="04EB73F5"/>
    <w:rsid w:val="04F44669"/>
    <w:rsid w:val="0505016D"/>
    <w:rsid w:val="05071EF8"/>
    <w:rsid w:val="052E5516"/>
    <w:rsid w:val="054A1F58"/>
    <w:rsid w:val="055D0F4B"/>
    <w:rsid w:val="0561610E"/>
    <w:rsid w:val="057F5F11"/>
    <w:rsid w:val="059A398D"/>
    <w:rsid w:val="05A26074"/>
    <w:rsid w:val="05DF07E9"/>
    <w:rsid w:val="05F27CA6"/>
    <w:rsid w:val="06084E47"/>
    <w:rsid w:val="060D0328"/>
    <w:rsid w:val="060F455D"/>
    <w:rsid w:val="06425E30"/>
    <w:rsid w:val="06602E7E"/>
    <w:rsid w:val="06843AF3"/>
    <w:rsid w:val="06B42ADA"/>
    <w:rsid w:val="06CD6271"/>
    <w:rsid w:val="06DB7F24"/>
    <w:rsid w:val="06ED6F59"/>
    <w:rsid w:val="07007D56"/>
    <w:rsid w:val="07310B69"/>
    <w:rsid w:val="07331702"/>
    <w:rsid w:val="07821605"/>
    <w:rsid w:val="07C25795"/>
    <w:rsid w:val="07C61311"/>
    <w:rsid w:val="0800443C"/>
    <w:rsid w:val="082D18BC"/>
    <w:rsid w:val="08472033"/>
    <w:rsid w:val="08510DF0"/>
    <w:rsid w:val="086D454B"/>
    <w:rsid w:val="087D2F81"/>
    <w:rsid w:val="088A58F0"/>
    <w:rsid w:val="088C2BD2"/>
    <w:rsid w:val="08906A76"/>
    <w:rsid w:val="08923F0C"/>
    <w:rsid w:val="08CC114D"/>
    <w:rsid w:val="09096D00"/>
    <w:rsid w:val="091C31EE"/>
    <w:rsid w:val="093C7784"/>
    <w:rsid w:val="09501044"/>
    <w:rsid w:val="098064E2"/>
    <w:rsid w:val="09A27FAD"/>
    <w:rsid w:val="09AF234C"/>
    <w:rsid w:val="09CB0A18"/>
    <w:rsid w:val="09D66D44"/>
    <w:rsid w:val="09ED7B04"/>
    <w:rsid w:val="0A065799"/>
    <w:rsid w:val="0A2B42AE"/>
    <w:rsid w:val="0A6024A9"/>
    <w:rsid w:val="0A6B1F60"/>
    <w:rsid w:val="0A7268CE"/>
    <w:rsid w:val="0A7A258E"/>
    <w:rsid w:val="0AA50204"/>
    <w:rsid w:val="0AA71A72"/>
    <w:rsid w:val="0ABB5B74"/>
    <w:rsid w:val="0AEA4210"/>
    <w:rsid w:val="0B0E0502"/>
    <w:rsid w:val="0B0F61A3"/>
    <w:rsid w:val="0B1C55AC"/>
    <w:rsid w:val="0B1D22ED"/>
    <w:rsid w:val="0B2D6ABF"/>
    <w:rsid w:val="0B4E18B1"/>
    <w:rsid w:val="0B4F1C63"/>
    <w:rsid w:val="0B51715F"/>
    <w:rsid w:val="0B6771A2"/>
    <w:rsid w:val="0B6F2628"/>
    <w:rsid w:val="0B765177"/>
    <w:rsid w:val="0B8C2221"/>
    <w:rsid w:val="0BC4530B"/>
    <w:rsid w:val="0BCF3641"/>
    <w:rsid w:val="0BE66320"/>
    <w:rsid w:val="0BF95A09"/>
    <w:rsid w:val="0C3D515C"/>
    <w:rsid w:val="0C4328F7"/>
    <w:rsid w:val="0C51347E"/>
    <w:rsid w:val="0CDE11C0"/>
    <w:rsid w:val="0CE87DCD"/>
    <w:rsid w:val="0CF97131"/>
    <w:rsid w:val="0D025AD1"/>
    <w:rsid w:val="0D094348"/>
    <w:rsid w:val="0D112172"/>
    <w:rsid w:val="0D2B6FB3"/>
    <w:rsid w:val="0D2F43CF"/>
    <w:rsid w:val="0D463653"/>
    <w:rsid w:val="0D61185A"/>
    <w:rsid w:val="0D6159AC"/>
    <w:rsid w:val="0D811F83"/>
    <w:rsid w:val="0D8256A0"/>
    <w:rsid w:val="0DCA1874"/>
    <w:rsid w:val="0DD70250"/>
    <w:rsid w:val="0E0D4D76"/>
    <w:rsid w:val="0E3D71E3"/>
    <w:rsid w:val="0E645766"/>
    <w:rsid w:val="0E684949"/>
    <w:rsid w:val="0E6918C7"/>
    <w:rsid w:val="0E780C04"/>
    <w:rsid w:val="0E7B4D87"/>
    <w:rsid w:val="0EC01760"/>
    <w:rsid w:val="0EC25BEE"/>
    <w:rsid w:val="0EE16F39"/>
    <w:rsid w:val="0EF30E7F"/>
    <w:rsid w:val="0F2062E5"/>
    <w:rsid w:val="0F711730"/>
    <w:rsid w:val="0F9E2C3A"/>
    <w:rsid w:val="0FA90C1C"/>
    <w:rsid w:val="0FB14D44"/>
    <w:rsid w:val="0FCB69FF"/>
    <w:rsid w:val="0FD2618A"/>
    <w:rsid w:val="0FFA1C0F"/>
    <w:rsid w:val="10102602"/>
    <w:rsid w:val="103F722D"/>
    <w:rsid w:val="104B58C6"/>
    <w:rsid w:val="106F77D9"/>
    <w:rsid w:val="10AC53DE"/>
    <w:rsid w:val="10BA01E5"/>
    <w:rsid w:val="11111B15"/>
    <w:rsid w:val="112A5F84"/>
    <w:rsid w:val="113A2365"/>
    <w:rsid w:val="119B3D3D"/>
    <w:rsid w:val="11AB065D"/>
    <w:rsid w:val="11C62ED2"/>
    <w:rsid w:val="11D40833"/>
    <w:rsid w:val="11E12873"/>
    <w:rsid w:val="11E372AF"/>
    <w:rsid w:val="11E90FA4"/>
    <w:rsid w:val="11FA428A"/>
    <w:rsid w:val="121D3376"/>
    <w:rsid w:val="122B14B4"/>
    <w:rsid w:val="124E12F3"/>
    <w:rsid w:val="126D3C74"/>
    <w:rsid w:val="1279050A"/>
    <w:rsid w:val="127B46DF"/>
    <w:rsid w:val="12942FA6"/>
    <w:rsid w:val="12F616AE"/>
    <w:rsid w:val="13052EB1"/>
    <w:rsid w:val="13075D30"/>
    <w:rsid w:val="130979C0"/>
    <w:rsid w:val="130C39D3"/>
    <w:rsid w:val="130E0BF1"/>
    <w:rsid w:val="132B0F4E"/>
    <w:rsid w:val="132D29E2"/>
    <w:rsid w:val="13430CD8"/>
    <w:rsid w:val="13560516"/>
    <w:rsid w:val="13580D0C"/>
    <w:rsid w:val="135B2F1D"/>
    <w:rsid w:val="13666F09"/>
    <w:rsid w:val="13746166"/>
    <w:rsid w:val="13760347"/>
    <w:rsid w:val="139B5721"/>
    <w:rsid w:val="13B37695"/>
    <w:rsid w:val="13CC2131"/>
    <w:rsid w:val="13CD2524"/>
    <w:rsid w:val="13D36DAE"/>
    <w:rsid w:val="13E37B99"/>
    <w:rsid w:val="13EB7982"/>
    <w:rsid w:val="14007F65"/>
    <w:rsid w:val="1412704F"/>
    <w:rsid w:val="14153A04"/>
    <w:rsid w:val="14495A0F"/>
    <w:rsid w:val="14C55742"/>
    <w:rsid w:val="14CA76C2"/>
    <w:rsid w:val="14DC35FD"/>
    <w:rsid w:val="14FE0DDF"/>
    <w:rsid w:val="151326B3"/>
    <w:rsid w:val="15572459"/>
    <w:rsid w:val="156E0C56"/>
    <w:rsid w:val="158C04BA"/>
    <w:rsid w:val="15935DD0"/>
    <w:rsid w:val="15E0477C"/>
    <w:rsid w:val="15E90CC2"/>
    <w:rsid w:val="15FA71B4"/>
    <w:rsid w:val="161B2DF8"/>
    <w:rsid w:val="161E5014"/>
    <w:rsid w:val="162409EB"/>
    <w:rsid w:val="164048BF"/>
    <w:rsid w:val="16A840C4"/>
    <w:rsid w:val="16B03FB1"/>
    <w:rsid w:val="16B31CBF"/>
    <w:rsid w:val="16C53FC4"/>
    <w:rsid w:val="16CD721D"/>
    <w:rsid w:val="16D0476F"/>
    <w:rsid w:val="16EB3204"/>
    <w:rsid w:val="16F17E39"/>
    <w:rsid w:val="172068CB"/>
    <w:rsid w:val="17315CED"/>
    <w:rsid w:val="173B7CA1"/>
    <w:rsid w:val="1783099B"/>
    <w:rsid w:val="17880B43"/>
    <w:rsid w:val="178F3DC7"/>
    <w:rsid w:val="17D912A0"/>
    <w:rsid w:val="17E86CB0"/>
    <w:rsid w:val="18113764"/>
    <w:rsid w:val="181D724A"/>
    <w:rsid w:val="18374FCF"/>
    <w:rsid w:val="184C13CB"/>
    <w:rsid w:val="184E75DD"/>
    <w:rsid w:val="185469E6"/>
    <w:rsid w:val="186A0BCF"/>
    <w:rsid w:val="186D3DAA"/>
    <w:rsid w:val="18780EAD"/>
    <w:rsid w:val="188D308B"/>
    <w:rsid w:val="18975C3E"/>
    <w:rsid w:val="18B0756E"/>
    <w:rsid w:val="18B47CCC"/>
    <w:rsid w:val="18BA6637"/>
    <w:rsid w:val="18DF22AE"/>
    <w:rsid w:val="19151AC7"/>
    <w:rsid w:val="191F5716"/>
    <w:rsid w:val="19332708"/>
    <w:rsid w:val="193D4B8A"/>
    <w:rsid w:val="194758E7"/>
    <w:rsid w:val="194F69DE"/>
    <w:rsid w:val="197202B8"/>
    <w:rsid w:val="197C1FC3"/>
    <w:rsid w:val="197D0DCB"/>
    <w:rsid w:val="19856C4C"/>
    <w:rsid w:val="19B5604D"/>
    <w:rsid w:val="19C80758"/>
    <w:rsid w:val="19E6184C"/>
    <w:rsid w:val="19F86713"/>
    <w:rsid w:val="19FA615A"/>
    <w:rsid w:val="1A042C07"/>
    <w:rsid w:val="1A352F2D"/>
    <w:rsid w:val="1A3F7C5E"/>
    <w:rsid w:val="1A691157"/>
    <w:rsid w:val="1ABF1816"/>
    <w:rsid w:val="1AEA3C51"/>
    <w:rsid w:val="1B026191"/>
    <w:rsid w:val="1B141809"/>
    <w:rsid w:val="1B1B527C"/>
    <w:rsid w:val="1B872043"/>
    <w:rsid w:val="1B931F29"/>
    <w:rsid w:val="1BAB27C0"/>
    <w:rsid w:val="1BD22AB9"/>
    <w:rsid w:val="1C0E2425"/>
    <w:rsid w:val="1C3123FB"/>
    <w:rsid w:val="1C530B82"/>
    <w:rsid w:val="1C610712"/>
    <w:rsid w:val="1C6656DB"/>
    <w:rsid w:val="1C9639B3"/>
    <w:rsid w:val="1C9D1969"/>
    <w:rsid w:val="1CB13F0D"/>
    <w:rsid w:val="1CC04764"/>
    <w:rsid w:val="1CC745EA"/>
    <w:rsid w:val="1D00576F"/>
    <w:rsid w:val="1D47571F"/>
    <w:rsid w:val="1D497B5F"/>
    <w:rsid w:val="1D58196B"/>
    <w:rsid w:val="1D5A6CF7"/>
    <w:rsid w:val="1D6553A0"/>
    <w:rsid w:val="1D8B00AD"/>
    <w:rsid w:val="1D934DA3"/>
    <w:rsid w:val="1D945D9E"/>
    <w:rsid w:val="1DBE678D"/>
    <w:rsid w:val="1DC50F76"/>
    <w:rsid w:val="1DD63FD2"/>
    <w:rsid w:val="1DD64F7B"/>
    <w:rsid w:val="1DE9132F"/>
    <w:rsid w:val="1E0246D7"/>
    <w:rsid w:val="1E1C625C"/>
    <w:rsid w:val="1E2C3140"/>
    <w:rsid w:val="1E434D84"/>
    <w:rsid w:val="1E633848"/>
    <w:rsid w:val="1E647FD9"/>
    <w:rsid w:val="1E747F76"/>
    <w:rsid w:val="1E817329"/>
    <w:rsid w:val="1E910579"/>
    <w:rsid w:val="1E97288B"/>
    <w:rsid w:val="1EA73C39"/>
    <w:rsid w:val="1ED32DA3"/>
    <w:rsid w:val="1F2B2382"/>
    <w:rsid w:val="1F2B6B5C"/>
    <w:rsid w:val="1F510B1F"/>
    <w:rsid w:val="1F613B14"/>
    <w:rsid w:val="1F6E7612"/>
    <w:rsid w:val="1F814F93"/>
    <w:rsid w:val="1F84503C"/>
    <w:rsid w:val="1F851FC1"/>
    <w:rsid w:val="1F930DBB"/>
    <w:rsid w:val="1FB76EF2"/>
    <w:rsid w:val="1FC645F8"/>
    <w:rsid w:val="20664397"/>
    <w:rsid w:val="20673134"/>
    <w:rsid w:val="206C6FE2"/>
    <w:rsid w:val="20791213"/>
    <w:rsid w:val="20CA21A7"/>
    <w:rsid w:val="20DB6FB8"/>
    <w:rsid w:val="20E03E7E"/>
    <w:rsid w:val="20E92350"/>
    <w:rsid w:val="210B1BB0"/>
    <w:rsid w:val="211B2CDA"/>
    <w:rsid w:val="2129366F"/>
    <w:rsid w:val="212F12A9"/>
    <w:rsid w:val="213C3E85"/>
    <w:rsid w:val="2145456A"/>
    <w:rsid w:val="2170337B"/>
    <w:rsid w:val="21862C45"/>
    <w:rsid w:val="21961AB3"/>
    <w:rsid w:val="219A4508"/>
    <w:rsid w:val="21A16DBC"/>
    <w:rsid w:val="21E5460A"/>
    <w:rsid w:val="22084E2B"/>
    <w:rsid w:val="221A036C"/>
    <w:rsid w:val="22276343"/>
    <w:rsid w:val="224D59C6"/>
    <w:rsid w:val="225F24C7"/>
    <w:rsid w:val="22817832"/>
    <w:rsid w:val="2283159B"/>
    <w:rsid w:val="228F6413"/>
    <w:rsid w:val="22950A0A"/>
    <w:rsid w:val="22A71A95"/>
    <w:rsid w:val="22A85339"/>
    <w:rsid w:val="22CC2429"/>
    <w:rsid w:val="22DB38DF"/>
    <w:rsid w:val="22DE1DD0"/>
    <w:rsid w:val="22E46B7B"/>
    <w:rsid w:val="22ED2412"/>
    <w:rsid w:val="23387C12"/>
    <w:rsid w:val="236A159B"/>
    <w:rsid w:val="238A4190"/>
    <w:rsid w:val="23C137B7"/>
    <w:rsid w:val="23CC162C"/>
    <w:rsid w:val="23FC6D7D"/>
    <w:rsid w:val="240E25C4"/>
    <w:rsid w:val="241702A3"/>
    <w:rsid w:val="243130DD"/>
    <w:rsid w:val="24527D9B"/>
    <w:rsid w:val="24560684"/>
    <w:rsid w:val="24626406"/>
    <w:rsid w:val="24842350"/>
    <w:rsid w:val="24DA1FD4"/>
    <w:rsid w:val="24F63216"/>
    <w:rsid w:val="250F1AC0"/>
    <w:rsid w:val="251A1CBD"/>
    <w:rsid w:val="25276942"/>
    <w:rsid w:val="257A6F64"/>
    <w:rsid w:val="258F3020"/>
    <w:rsid w:val="25E71C9C"/>
    <w:rsid w:val="25E937AA"/>
    <w:rsid w:val="25F179EC"/>
    <w:rsid w:val="25FC1CDF"/>
    <w:rsid w:val="26135141"/>
    <w:rsid w:val="261871D1"/>
    <w:rsid w:val="2628108B"/>
    <w:rsid w:val="262D1471"/>
    <w:rsid w:val="26805336"/>
    <w:rsid w:val="269E3056"/>
    <w:rsid w:val="26AD285C"/>
    <w:rsid w:val="26AD5F41"/>
    <w:rsid w:val="26AE1D39"/>
    <w:rsid w:val="26AE4548"/>
    <w:rsid w:val="26C44F06"/>
    <w:rsid w:val="26CF26F6"/>
    <w:rsid w:val="26DF645F"/>
    <w:rsid w:val="26E06117"/>
    <w:rsid w:val="26EB0568"/>
    <w:rsid w:val="270260A5"/>
    <w:rsid w:val="270F303F"/>
    <w:rsid w:val="27100B31"/>
    <w:rsid w:val="2737197D"/>
    <w:rsid w:val="27445AE8"/>
    <w:rsid w:val="274D5492"/>
    <w:rsid w:val="276C2F82"/>
    <w:rsid w:val="27A85A4F"/>
    <w:rsid w:val="27D52B91"/>
    <w:rsid w:val="27E56683"/>
    <w:rsid w:val="27EE4A9F"/>
    <w:rsid w:val="27F1705E"/>
    <w:rsid w:val="280478D6"/>
    <w:rsid w:val="280A5F03"/>
    <w:rsid w:val="281F28B7"/>
    <w:rsid w:val="28376161"/>
    <w:rsid w:val="28654EE0"/>
    <w:rsid w:val="289764F3"/>
    <w:rsid w:val="28F05EDB"/>
    <w:rsid w:val="28F25980"/>
    <w:rsid w:val="29003BF9"/>
    <w:rsid w:val="29327E94"/>
    <w:rsid w:val="295032D9"/>
    <w:rsid w:val="29867431"/>
    <w:rsid w:val="29CA3E49"/>
    <w:rsid w:val="2A4072D8"/>
    <w:rsid w:val="2A863ED9"/>
    <w:rsid w:val="2A96617B"/>
    <w:rsid w:val="2AC57130"/>
    <w:rsid w:val="2AE850D9"/>
    <w:rsid w:val="2AE8750C"/>
    <w:rsid w:val="2B0E0E2F"/>
    <w:rsid w:val="2B1E6AA1"/>
    <w:rsid w:val="2B4E3DE3"/>
    <w:rsid w:val="2B9D184D"/>
    <w:rsid w:val="2BA25B5E"/>
    <w:rsid w:val="2BFD51E3"/>
    <w:rsid w:val="2C083841"/>
    <w:rsid w:val="2C1125C1"/>
    <w:rsid w:val="2C1D1446"/>
    <w:rsid w:val="2C275941"/>
    <w:rsid w:val="2C416BB5"/>
    <w:rsid w:val="2C4F46F9"/>
    <w:rsid w:val="2C727A35"/>
    <w:rsid w:val="2C7D707B"/>
    <w:rsid w:val="2C9107A4"/>
    <w:rsid w:val="2CCF38B5"/>
    <w:rsid w:val="2CEF235D"/>
    <w:rsid w:val="2CF30ED2"/>
    <w:rsid w:val="2D4F20F4"/>
    <w:rsid w:val="2D507470"/>
    <w:rsid w:val="2D53775E"/>
    <w:rsid w:val="2D6C2B5B"/>
    <w:rsid w:val="2D85177C"/>
    <w:rsid w:val="2D8E2DC6"/>
    <w:rsid w:val="2D9843A5"/>
    <w:rsid w:val="2DAF3613"/>
    <w:rsid w:val="2DB6756F"/>
    <w:rsid w:val="2DBE39A5"/>
    <w:rsid w:val="2DF42763"/>
    <w:rsid w:val="2DFB641B"/>
    <w:rsid w:val="2E081325"/>
    <w:rsid w:val="2E465085"/>
    <w:rsid w:val="2E5105E8"/>
    <w:rsid w:val="2E635703"/>
    <w:rsid w:val="2E730C47"/>
    <w:rsid w:val="2E7C6DF2"/>
    <w:rsid w:val="2E7F3A27"/>
    <w:rsid w:val="2E952B12"/>
    <w:rsid w:val="2EB3480F"/>
    <w:rsid w:val="2EE30245"/>
    <w:rsid w:val="2EEC679E"/>
    <w:rsid w:val="2F225E5F"/>
    <w:rsid w:val="2F436A23"/>
    <w:rsid w:val="2F800FA7"/>
    <w:rsid w:val="2FA36B51"/>
    <w:rsid w:val="2FB36E0D"/>
    <w:rsid w:val="2FBD27CA"/>
    <w:rsid w:val="2FE32293"/>
    <w:rsid w:val="2FF23EF7"/>
    <w:rsid w:val="30284F2D"/>
    <w:rsid w:val="30296D7F"/>
    <w:rsid w:val="30670A53"/>
    <w:rsid w:val="30692ECB"/>
    <w:rsid w:val="30751196"/>
    <w:rsid w:val="307D0273"/>
    <w:rsid w:val="30836850"/>
    <w:rsid w:val="309537C1"/>
    <w:rsid w:val="30C538BF"/>
    <w:rsid w:val="30D20571"/>
    <w:rsid w:val="31070180"/>
    <w:rsid w:val="311F752F"/>
    <w:rsid w:val="315B1E20"/>
    <w:rsid w:val="31604FB2"/>
    <w:rsid w:val="31991A9E"/>
    <w:rsid w:val="31A0793B"/>
    <w:rsid w:val="31AA78FB"/>
    <w:rsid w:val="31AE6C7A"/>
    <w:rsid w:val="31B5579D"/>
    <w:rsid w:val="31BD04CA"/>
    <w:rsid w:val="31C705A4"/>
    <w:rsid w:val="31DF24EB"/>
    <w:rsid w:val="31EF5AFC"/>
    <w:rsid w:val="3202748E"/>
    <w:rsid w:val="3246503C"/>
    <w:rsid w:val="325A6E7D"/>
    <w:rsid w:val="32672D17"/>
    <w:rsid w:val="32754CDC"/>
    <w:rsid w:val="32AF3F38"/>
    <w:rsid w:val="32B21D2E"/>
    <w:rsid w:val="32D60031"/>
    <w:rsid w:val="33335EBB"/>
    <w:rsid w:val="333F60D2"/>
    <w:rsid w:val="33494FBA"/>
    <w:rsid w:val="337B29EA"/>
    <w:rsid w:val="337E3D8C"/>
    <w:rsid w:val="33A107AE"/>
    <w:rsid w:val="33DA01D0"/>
    <w:rsid w:val="33F01013"/>
    <w:rsid w:val="33F5101A"/>
    <w:rsid w:val="34330E91"/>
    <w:rsid w:val="343821DC"/>
    <w:rsid w:val="344C5DD8"/>
    <w:rsid w:val="345677BB"/>
    <w:rsid w:val="345832D9"/>
    <w:rsid w:val="34585366"/>
    <w:rsid w:val="3461229E"/>
    <w:rsid w:val="34632737"/>
    <w:rsid w:val="34663B95"/>
    <w:rsid w:val="34771E2B"/>
    <w:rsid w:val="34980A1F"/>
    <w:rsid w:val="34B5517B"/>
    <w:rsid w:val="34EA5B26"/>
    <w:rsid w:val="350B5077"/>
    <w:rsid w:val="351D6E19"/>
    <w:rsid w:val="354A3F35"/>
    <w:rsid w:val="35677B15"/>
    <w:rsid w:val="357E642A"/>
    <w:rsid w:val="35982305"/>
    <w:rsid w:val="35A03358"/>
    <w:rsid w:val="35A30631"/>
    <w:rsid w:val="35A6569D"/>
    <w:rsid w:val="35B0222C"/>
    <w:rsid w:val="35C33D05"/>
    <w:rsid w:val="35C83C7A"/>
    <w:rsid w:val="35DC625B"/>
    <w:rsid w:val="35DC6B79"/>
    <w:rsid w:val="360A48BF"/>
    <w:rsid w:val="36410281"/>
    <w:rsid w:val="36425264"/>
    <w:rsid w:val="364C595C"/>
    <w:rsid w:val="3651018A"/>
    <w:rsid w:val="36571549"/>
    <w:rsid w:val="36624077"/>
    <w:rsid w:val="367B0D82"/>
    <w:rsid w:val="367E76FA"/>
    <w:rsid w:val="369B0C6C"/>
    <w:rsid w:val="36AA6079"/>
    <w:rsid w:val="36C562CD"/>
    <w:rsid w:val="36CF7845"/>
    <w:rsid w:val="36D4104B"/>
    <w:rsid w:val="36FA6680"/>
    <w:rsid w:val="374E6F44"/>
    <w:rsid w:val="375613F4"/>
    <w:rsid w:val="3767316E"/>
    <w:rsid w:val="37732E6C"/>
    <w:rsid w:val="37C01CDC"/>
    <w:rsid w:val="37D7679D"/>
    <w:rsid w:val="37EA68E3"/>
    <w:rsid w:val="37F342ED"/>
    <w:rsid w:val="381E32AA"/>
    <w:rsid w:val="384038B3"/>
    <w:rsid w:val="384D4CC7"/>
    <w:rsid w:val="38646869"/>
    <w:rsid w:val="386817BB"/>
    <w:rsid w:val="386B260E"/>
    <w:rsid w:val="387202A0"/>
    <w:rsid w:val="388E775F"/>
    <w:rsid w:val="38BA474F"/>
    <w:rsid w:val="38BF587F"/>
    <w:rsid w:val="38CF7840"/>
    <w:rsid w:val="38FE3627"/>
    <w:rsid w:val="390A1466"/>
    <w:rsid w:val="392566C4"/>
    <w:rsid w:val="398B0D83"/>
    <w:rsid w:val="39960945"/>
    <w:rsid w:val="399C348E"/>
    <w:rsid w:val="399C5A4D"/>
    <w:rsid w:val="39D750C5"/>
    <w:rsid w:val="39DA611B"/>
    <w:rsid w:val="39FB321E"/>
    <w:rsid w:val="3A4F130F"/>
    <w:rsid w:val="3A5778B1"/>
    <w:rsid w:val="3A821A5D"/>
    <w:rsid w:val="3A9D0DD7"/>
    <w:rsid w:val="3AC73265"/>
    <w:rsid w:val="3AD63D7A"/>
    <w:rsid w:val="3AEC5AFB"/>
    <w:rsid w:val="3AEF26BA"/>
    <w:rsid w:val="3AF6677C"/>
    <w:rsid w:val="3B0C435B"/>
    <w:rsid w:val="3B1A6236"/>
    <w:rsid w:val="3B6C711E"/>
    <w:rsid w:val="3BA21278"/>
    <w:rsid w:val="3BA32765"/>
    <w:rsid w:val="3BA51AA0"/>
    <w:rsid w:val="3BAF0B53"/>
    <w:rsid w:val="3BB14F63"/>
    <w:rsid w:val="3BBC474B"/>
    <w:rsid w:val="3BE170AF"/>
    <w:rsid w:val="3BE307AE"/>
    <w:rsid w:val="3C025B46"/>
    <w:rsid w:val="3C027C71"/>
    <w:rsid w:val="3C042CBB"/>
    <w:rsid w:val="3C3B2095"/>
    <w:rsid w:val="3C3E2DE6"/>
    <w:rsid w:val="3C451E89"/>
    <w:rsid w:val="3C757D50"/>
    <w:rsid w:val="3C871200"/>
    <w:rsid w:val="3CB8053A"/>
    <w:rsid w:val="3CC63754"/>
    <w:rsid w:val="3D0D6329"/>
    <w:rsid w:val="3D281519"/>
    <w:rsid w:val="3D281F33"/>
    <w:rsid w:val="3D486F84"/>
    <w:rsid w:val="3D707693"/>
    <w:rsid w:val="3D960310"/>
    <w:rsid w:val="3DF756AC"/>
    <w:rsid w:val="3E617831"/>
    <w:rsid w:val="3E642B02"/>
    <w:rsid w:val="3EA016F1"/>
    <w:rsid w:val="3EB111E3"/>
    <w:rsid w:val="3EBB224C"/>
    <w:rsid w:val="3F0D10E8"/>
    <w:rsid w:val="3F387E91"/>
    <w:rsid w:val="3F427242"/>
    <w:rsid w:val="3F77103E"/>
    <w:rsid w:val="3F7C39C5"/>
    <w:rsid w:val="3F80744B"/>
    <w:rsid w:val="3F944FAB"/>
    <w:rsid w:val="3FBE078E"/>
    <w:rsid w:val="3FE54161"/>
    <w:rsid w:val="3FF07B46"/>
    <w:rsid w:val="401F5A88"/>
    <w:rsid w:val="402204A1"/>
    <w:rsid w:val="404417FB"/>
    <w:rsid w:val="40523846"/>
    <w:rsid w:val="40597872"/>
    <w:rsid w:val="405A47C4"/>
    <w:rsid w:val="4070745F"/>
    <w:rsid w:val="408602DB"/>
    <w:rsid w:val="40BF1963"/>
    <w:rsid w:val="40C1063D"/>
    <w:rsid w:val="40C7232D"/>
    <w:rsid w:val="40E5653B"/>
    <w:rsid w:val="40F57116"/>
    <w:rsid w:val="41003949"/>
    <w:rsid w:val="413143C3"/>
    <w:rsid w:val="413236A8"/>
    <w:rsid w:val="41636732"/>
    <w:rsid w:val="416C60B0"/>
    <w:rsid w:val="416D7E40"/>
    <w:rsid w:val="41712004"/>
    <w:rsid w:val="419B72A6"/>
    <w:rsid w:val="41CB3C4E"/>
    <w:rsid w:val="41DA26C2"/>
    <w:rsid w:val="423720A4"/>
    <w:rsid w:val="42521D79"/>
    <w:rsid w:val="42684E34"/>
    <w:rsid w:val="426C62D9"/>
    <w:rsid w:val="428478F9"/>
    <w:rsid w:val="42BA5790"/>
    <w:rsid w:val="42CD5351"/>
    <w:rsid w:val="42E7512B"/>
    <w:rsid w:val="42EA6972"/>
    <w:rsid w:val="42ED61B2"/>
    <w:rsid w:val="43050FC9"/>
    <w:rsid w:val="430B2721"/>
    <w:rsid w:val="431821FD"/>
    <w:rsid w:val="43215790"/>
    <w:rsid w:val="432369A6"/>
    <w:rsid w:val="43273E1E"/>
    <w:rsid w:val="432E3DCC"/>
    <w:rsid w:val="432E715D"/>
    <w:rsid w:val="433D508F"/>
    <w:rsid w:val="436B40C0"/>
    <w:rsid w:val="4392195E"/>
    <w:rsid w:val="43B61242"/>
    <w:rsid w:val="43C024AB"/>
    <w:rsid w:val="43E4003F"/>
    <w:rsid w:val="43F506E3"/>
    <w:rsid w:val="442E168E"/>
    <w:rsid w:val="44336E63"/>
    <w:rsid w:val="445761A2"/>
    <w:rsid w:val="446A1209"/>
    <w:rsid w:val="446F769D"/>
    <w:rsid w:val="447F6E1F"/>
    <w:rsid w:val="44B257A7"/>
    <w:rsid w:val="44C77869"/>
    <w:rsid w:val="44CC6BE9"/>
    <w:rsid w:val="44E86C67"/>
    <w:rsid w:val="44F076A5"/>
    <w:rsid w:val="450C7003"/>
    <w:rsid w:val="45261FEA"/>
    <w:rsid w:val="45582F71"/>
    <w:rsid w:val="457B7A6B"/>
    <w:rsid w:val="458D460F"/>
    <w:rsid w:val="459C176E"/>
    <w:rsid w:val="460D5E71"/>
    <w:rsid w:val="461D558D"/>
    <w:rsid w:val="461E1D96"/>
    <w:rsid w:val="46370ED4"/>
    <w:rsid w:val="46A423CD"/>
    <w:rsid w:val="46D44202"/>
    <w:rsid w:val="472C1A1A"/>
    <w:rsid w:val="474C7A4F"/>
    <w:rsid w:val="476B660D"/>
    <w:rsid w:val="476C35F2"/>
    <w:rsid w:val="47705F74"/>
    <w:rsid w:val="478C6318"/>
    <w:rsid w:val="479E1E79"/>
    <w:rsid w:val="47A14AAB"/>
    <w:rsid w:val="47D779E1"/>
    <w:rsid w:val="47DA2560"/>
    <w:rsid w:val="47F94B69"/>
    <w:rsid w:val="480221B2"/>
    <w:rsid w:val="485025E3"/>
    <w:rsid w:val="48571ACC"/>
    <w:rsid w:val="48812577"/>
    <w:rsid w:val="48AB3B6C"/>
    <w:rsid w:val="48BA5164"/>
    <w:rsid w:val="48D271C3"/>
    <w:rsid w:val="48DB0E4E"/>
    <w:rsid w:val="490A47CF"/>
    <w:rsid w:val="496714BB"/>
    <w:rsid w:val="49B06A9B"/>
    <w:rsid w:val="49C50964"/>
    <w:rsid w:val="49E526C7"/>
    <w:rsid w:val="49F4059E"/>
    <w:rsid w:val="4A13663C"/>
    <w:rsid w:val="4A1B4D76"/>
    <w:rsid w:val="4A1F5AE3"/>
    <w:rsid w:val="4A290394"/>
    <w:rsid w:val="4A2B4F80"/>
    <w:rsid w:val="4A4618EE"/>
    <w:rsid w:val="4A5F12F9"/>
    <w:rsid w:val="4A6D6F55"/>
    <w:rsid w:val="4A70618E"/>
    <w:rsid w:val="4A78176A"/>
    <w:rsid w:val="4A9F44FD"/>
    <w:rsid w:val="4AB364CB"/>
    <w:rsid w:val="4AB628FD"/>
    <w:rsid w:val="4AC408E4"/>
    <w:rsid w:val="4ACE5A5A"/>
    <w:rsid w:val="4AF15407"/>
    <w:rsid w:val="4B4D1F74"/>
    <w:rsid w:val="4B897AF1"/>
    <w:rsid w:val="4BBA1ED6"/>
    <w:rsid w:val="4BF64E13"/>
    <w:rsid w:val="4C2B4325"/>
    <w:rsid w:val="4C33404B"/>
    <w:rsid w:val="4C365937"/>
    <w:rsid w:val="4C39208B"/>
    <w:rsid w:val="4C3A224C"/>
    <w:rsid w:val="4C3F0D7F"/>
    <w:rsid w:val="4C430BD5"/>
    <w:rsid w:val="4C522F1D"/>
    <w:rsid w:val="4C626141"/>
    <w:rsid w:val="4CA23096"/>
    <w:rsid w:val="4CC22852"/>
    <w:rsid w:val="4D555A70"/>
    <w:rsid w:val="4D9915A3"/>
    <w:rsid w:val="4D9A222B"/>
    <w:rsid w:val="4DBB5709"/>
    <w:rsid w:val="4DC72130"/>
    <w:rsid w:val="4DDD1745"/>
    <w:rsid w:val="4DDD399E"/>
    <w:rsid w:val="4DE422A0"/>
    <w:rsid w:val="4E034F25"/>
    <w:rsid w:val="4E291031"/>
    <w:rsid w:val="4E2E4267"/>
    <w:rsid w:val="4E4F5033"/>
    <w:rsid w:val="4E675DBB"/>
    <w:rsid w:val="4E79580D"/>
    <w:rsid w:val="4E8A471E"/>
    <w:rsid w:val="4EBB0165"/>
    <w:rsid w:val="4EC7102E"/>
    <w:rsid w:val="4EDA4FDD"/>
    <w:rsid w:val="4EF948C6"/>
    <w:rsid w:val="4F273110"/>
    <w:rsid w:val="4F2D7CDE"/>
    <w:rsid w:val="4F486AD1"/>
    <w:rsid w:val="4F6C1739"/>
    <w:rsid w:val="4F86281B"/>
    <w:rsid w:val="4F9501CB"/>
    <w:rsid w:val="4FA801F2"/>
    <w:rsid w:val="4FE2003A"/>
    <w:rsid w:val="4FE320A5"/>
    <w:rsid w:val="4FEA0AC7"/>
    <w:rsid w:val="50067C56"/>
    <w:rsid w:val="500D6A78"/>
    <w:rsid w:val="502E3578"/>
    <w:rsid w:val="505549A5"/>
    <w:rsid w:val="5057047E"/>
    <w:rsid w:val="508C6418"/>
    <w:rsid w:val="50A11C22"/>
    <w:rsid w:val="50C80301"/>
    <w:rsid w:val="50F822BA"/>
    <w:rsid w:val="50FC25DC"/>
    <w:rsid w:val="50FD3E03"/>
    <w:rsid w:val="50FD65BE"/>
    <w:rsid w:val="50FF3418"/>
    <w:rsid w:val="511A1EAB"/>
    <w:rsid w:val="51262F9F"/>
    <w:rsid w:val="51370ACD"/>
    <w:rsid w:val="51554395"/>
    <w:rsid w:val="5176160D"/>
    <w:rsid w:val="518B7093"/>
    <w:rsid w:val="519F0F14"/>
    <w:rsid w:val="51BE282D"/>
    <w:rsid w:val="51C73AB2"/>
    <w:rsid w:val="51D177F4"/>
    <w:rsid w:val="51E90E1F"/>
    <w:rsid w:val="520C4646"/>
    <w:rsid w:val="521B3EAD"/>
    <w:rsid w:val="52304CA0"/>
    <w:rsid w:val="52636FBC"/>
    <w:rsid w:val="528A7F07"/>
    <w:rsid w:val="52965849"/>
    <w:rsid w:val="529A79BE"/>
    <w:rsid w:val="52B24B19"/>
    <w:rsid w:val="52CB33E9"/>
    <w:rsid w:val="53120C31"/>
    <w:rsid w:val="53186FEE"/>
    <w:rsid w:val="53304A06"/>
    <w:rsid w:val="53596CDB"/>
    <w:rsid w:val="535B6C90"/>
    <w:rsid w:val="537117A6"/>
    <w:rsid w:val="53744074"/>
    <w:rsid w:val="537A38E1"/>
    <w:rsid w:val="537F5C1D"/>
    <w:rsid w:val="53827C22"/>
    <w:rsid w:val="538930AF"/>
    <w:rsid w:val="53B53DDF"/>
    <w:rsid w:val="53B844AD"/>
    <w:rsid w:val="53BB0B18"/>
    <w:rsid w:val="53C66686"/>
    <w:rsid w:val="53D25126"/>
    <w:rsid w:val="53ED47EC"/>
    <w:rsid w:val="53FA4F85"/>
    <w:rsid w:val="540177F1"/>
    <w:rsid w:val="54152B70"/>
    <w:rsid w:val="541B2D77"/>
    <w:rsid w:val="544D0192"/>
    <w:rsid w:val="545B3DB4"/>
    <w:rsid w:val="54775F26"/>
    <w:rsid w:val="548B49EF"/>
    <w:rsid w:val="54C93270"/>
    <w:rsid w:val="55166D7E"/>
    <w:rsid w:val="553A3633"/>
    <w:rsid w:val="55765374"/>
    <w:rsid w:val="557B09CE"/>
    <w:rsid w:val="558978C7"/>
    <w:rsid w:val="55EE6E53"/>
    <w:rsid w:val="55F017FB"/>
    <w:rsid w:val="55FB3806"/>
    <w:rsid w:val="56070E77"/>
    <w:rsid w:val="56530CFA"/>
    <w:rsid w:val="565A09BA"/>
    <w:rsid w:val="567031A3"/>
    <w:rsid w:val="56EE0A0F"/>
    <w:rsid w:val="56F716CC"/>
    <w:rsid w:val="56FB2E32"/>
    <w:rsid w:val="56FC12FF"/>
    <w:rsid w:val="570C16D0"/>
    <w:rsid w:val="57574A7D"/>
    <w:rsid w:val="579D18AD"/>
    <w:rsid w:val="57A91071"/>
    <w:rsid w:val="57B272C3"/>
    <w:rsid w:val="57B6537A"/>
    <w:rsid w:val="57D36953"/>
    <w:rsid w:val="57DF4783"/>
    <w:rsid w:val="57DF4C43"/>
    <w:rsid w:val="57E15B4C"/>
    <w:rsid w:val="57E94E70"/>
    <w:rsid w:val="581E77FE"/>
    <w:rsid w:val="58376AE7"/>
    <w:rsid w:val="584C6CBC"/>
    <w:rsid w:val="584C782B"/>
    <w:rsid w:val="584E490E"/>
    <w:rsid w:val="58625316"/>
    <w:rsid w:val="5873778F"/>
    <w:rsid w:val="589610F1"/>
    <w:rsid w:val="589E4FB0"/>
    <w:rsid w:val="58B75439"/>
    <w:rsid w:val="58BB5070"/>
    <w:rsid w:val="58DB7D76"/>
    <w:rsid w:val="58E13BFD"/>
    <w:rsid w:val="58FD69E9"/>
    <w:rsid w:val="590D7B36"/>
    <w:rsid w:val="590E7DFF"/>
    <w:rsid w:val="59641F94"/>
    <w:rsid w:val="5991590B"/>
    <w:rsid w:val="59A46C57"/>
    <w:rsid w:val="59B645E0"/>
    <w:rsid w:val="59BD1DC8"/>
    <w:rsid w:val="59D84A58"/>
    <w:rsid w:val="5A022CDB"/>
    <w:rsid w:val="5A34733B"/>
    <w:rsid w:val="5A5275BC"/>
    <w:rsid w:val="5A7C60FF"/>
    <w:rsid w:val="5A8B1B5E"/>
    <w:rsid w:val="5A987886"/>
    <w:rsid w:val="5AA8012A"/>
    <w:rsid w:val="5AB24860"/>
    <w:rsid w:val="5ABF3E5C"/>
    <w:rsid w:val="5ACB7EC1"/>
    <w:rsid w:val="5ADE609D"/>
    <w:rsid w:val="5AF6253B"/>
    <w:rsid w:val="5AFF1BD4"/>
    <w:rsid w:val="5B061B48"/>
    <w:rsid w:val="5B1F4F6D"/>
    <w:rsid w:val="5B444620"/>
    <w:rsid w:val="5B626166"/>
    <w:rsid w:val="5B66586D"/>
    <w:rsid w:val="5B7E7762"/>
    <w:rsid w:val="5BA41AD8"/>
    <w:rsid w:val="5BCA4F04"/>
    <w:rsid w:val="5BD243B1"/>
    <w:rsid w:val="5C2E045C"/>
    <w:rsid w:val="5C3B2A60"/>
    <w:rsid w:val="5C7D39D9"/>
    <w:rsid w:val="5C933643"/>
    <w:rsid w:val="5C99441E"/>
    <w:rsid w:val="5CA961D2"/>
    <w:rsid w:val="5CC73F21"/>
    <w:rsid w:val="5CDA7393"/>
    <w:rsid w:val="5D0C00B7"/>
    <w:rsid w:val="5D1628DE"/>
    <w:rsid w:val="5D3944DC"/>
    <w:rsid w:val="5D4B19A6"/>
    <w:rsid w:val="5D6D4081"/>
    <w:rsid w:val="5D8867D2"/>
    <w:rsid w:val="5DAC10B4"/>
    <w:rsid w:val="5DBB422A"/>
    <w:rsid w:val="5DC618E6"/>
    <w:rsid w:val="5DD660ED"/>
    <w:rsid w:val="5DEB5AF3"/>
    <w:rsid w:val="5E5840F1"/>
    <w:rsid w:val="5E5A4F14"/>
    <w:rsid w:val="5E5F58ED"/>
    <w:rsid w:val="5ECC347C"/>
    <w:rsid w:val="5ED62DA9"/>
    <w:rsid w:val="5F382CEF"/>
    <w:rsid w:val="5F3A21BE"/>
    <w:rsid w:val="5F4A5EF3"/>
    <w:rsid w:val="5F511B17"/>
    <w:rsid w:val="5F6344E5"/>
    <w:rsid w:val="5F9356F8"/>
    <w:rsid w:val="5FC61C6D"/>
    <w:rsid w:val="6008100A"/>
    <w:rsid w:val="60137AC8"/>
    <w:rsid w:val="60312849"/>
    <w:rsid w:val="60521A52"/>
    <w:rsid w:val="60A02083"/>
    <w:rsid w:val="60D3038C"/>
    <w:rsid w:val="61025096"/>
    <w:rsid w:val="6130793F"/>
    <w:rsid w:val="615F19D0"/>
    <w:rsid w:val="61690955"/>
    <w:rsid w:val="618E1A83"/>
    <w:rsid w:val="619318C2"/>
    <w:rsid w:val="61A7743D"/>
    <w:rsid w:val="61AC1C29"/>
    <w:rsid w:val="61C73F17"/>
    <w:rsid w:val="61D5210C"/>
    <w:rsid w:val="61E73A51"/>
    <w:rsid w:val="61F40A54"/>
    <w:rsid w:val="62161B0A"/>
    <w:rsid w:val="62176134"/>
    <w:rsid w:val="62197A10"/>
    <w:rsid w:val="628F77C1"/>
    <w:rsid w:val="629E702B"/>
    <w:rsid w:val="62AC38DD"/>
    <w:rsid w:val="62C3746A"/>
    <w:rsid w:val="62CA24A3"/>
    <w:rsid w:val="62E00711"/>
    <w:rsid w:val="62E63FCD"/>
    <w:rsid w:val="62F837C2"/>
    <w:rsid w:val="62FA228F"/>
    <w:rsid w:val="63090B3F"/>
    <w:rsid w:val="630914AD"/>
    <w:rsid w:val="63111982"/>
    <w:rsid w:val="63134910"/>
    <w:rsid w:val="63202A91"/>
    <w:rsid w:val="63564120"/>
    <w:rsid w:val="636A1FF6"/>
    <w:rsid w:val="6377085E"/>
    <w:rsid w:val="63817247"/>
    <w:rsid w:val="638A426C"/>
    <w:rsid w:val="639C1535"/>
    <w:rsid w:val="63A82DBC"/>
    <w:rsid w:val="63D37C5E"/>
    <w:rsid w:val="641C6963"/>
    <w:rsid w:val="644960D3"/>
    <w:rsid w:val="646413F0"/>
    <w:rsid w:val="649A549E"/>
    <w:rsid w:val="64D236BC"/>
    <w:rsid w:val="64F95EFC"/>
    <w:rsid w:val="64FC0563"/>
    <w:rsid w:val="651443BC"/>
    <w:rsid w:val="651834AF"/>
    <w:rsid w:val="65206354"/>
    <w:rsid w:val="65257EBB"/>
    <w:rsid w:val="65301773"/>
    <w:rsid w:val="654D6D37"/>
    <w:rsid w:val="6552156C"/>
    <w:rsid w:val="656D185E"/>
    <w:rsid w:val="65961DFA"/>
    <w:rsid w:val="65AA038B"/>
    <w:rsid w:val="65AF64FD"/>
    <w:rsid w:val="65D409BA"/>
    <w:rsid w:val="65E5156E"/>
    <w:rsid w:val="660B54B9"/>
    <w:rsid w:val="66221C72"/>
    <w:rsid w:val="66366BFD"/>
    <w:rsid w:val="66476E6E"/>
    <w:rsid w:val="665A497F"/>
    <w:rsid w:val="66734156"/>
    <w:rsid w:val="6695746B"/>
    <w:rsid w:val="66A36583"/>
    <w:rsid w:val="66D55111"/>
    <w:rsid w:val="66F0718D"/>
    <w:rsid w:val="67000ECB"/>
    <w:rsid w:val="67115ACE"/>
    <w:rsid w:val="672C6021"/>
    <w:rsid w:val="673606FC"/>
    <w:rsid w:val="67407B8D"/>
    <w:rsid w:val="675112F3"/>
    <w:rsid w:val="67646E0E"/>
    <w:rsid w:val="679465E0"/>
    <w:rsid w:val="67980714"/>
    <w:rsid w:val="67A46F68"/>
    <w:rsid w:val="67A70317"/>
    <w:rsid w:val="67B90638"/>
    <w:rsid w:val="67DE4E18"/>
    <w:rsid w:val="680D6A87"/>
    <w:rsid w:val="681670D2"/>
    <w:rsid w:val="68197E7D"/>
    <w:rsid w:val="68217007"/>
    <w:rsid w:val="683C7EC5"/>
    <w:rsid w:val="689E467A"/>
    <w:rsid w:val="68A211B2"/>
    <w:rsid w:val="68AA543E"/>
    <w:rsid w:val="68BF4EF8"/>
    <w:rsid w:val="68DD59D8"/>
    <w:rsid w:val="68F95994"/>
    <w:rsid w:val="69177A03"/>
    <w:rsid w:val="69442CAB"/>
    <w:rsid w:val="696558B8"/>
    <w:rsid w:val="69727BC0"/>
    <w:rsid w:val="698F3215"/>
    <w:rsid w:val="69907E4A"/>
    <w:rsid w:val="69972E9E"/>
    <w:rsid w:val="69A048BD"/>
    <w:rsid w:val="69A12477"/>
    <w:rsid w:val="69A70403"/>
    <w:rsid w:val="69B35405"/>
    <w:rsid w:val="69C849E9"/>
    <w:rsid w:val="69D47AF7"/>
    <w:rsid w:val="69E8789A"/>
    <w:rsid w:val="69E92A09"/>
    <w:rsid w:val="69FB50E0"/>
    <w:rsid w:val="6A106680"/>
    <w:rsid w:val="6A106C31"/>
    <w:rsid w:val="6A163404"/>
    <w:rsid w:val="6A1D5C05"/>
    <w:rsid w:val="6A784572"/>
    <w:rsid w:val="6A852140"/>
    <w:rsid w:val="6AA8786A"/>
    <w:rsid w:val="6ABB7770"/>
    <w:rsid w:val="6ACE3E6B"/>
    <w:rsid w:val="6AF86329"/>
    <w:rsid w:val="6B0E3D10"/>
    <w:rsid w:val="6B7A55C1"/>
    <w:rsid w:val="6B7E5F9F"/>
    <w:rsid w:val="6B842C8D"/>
    <w:rsid w:val="6BB640BB"/>
    <w:rsid w:val="6BC31E32"/>
    <w:rsid w:val="6BD5382D"/>
    <w:rsid w:val="6BD66048"/>
    <w:rsid w:val="6C426EE2"/>
    <w:rsid w:val="6C487A7C"/>
    <w:rsid w:val="6C7649C1"/>
    <w:rsid w:val="6C8D47C7"/>
    <w:rsid w:val="6C9008FA"/>
    <w:rsid w:val="6CCA1472"/>
    <w:rsid w:val="6CCB0B52"/>
    <w:rsid w:val="6D0D150A"/>
    <w:rsid w:val="6D120F15"/>
    <w:rsid w:val="6D3A6529"/>
    <w:rsid w:val="6D535020"/>
    <w:rsid w:val="6D5912A8"/>
    <w:rsid w:val="6D5C7D44"/>
    <w:rsid w:val="6D7527FE"/>
    <w:rsid w:val="6D791FCC"/>
    <w:rsid w:val="6DBD1C4A"/>
    <w:rsid w:val="6DEF0CD1"/>
    <w:rsid w:val="6E121F5E"/>
    <w:rsid w:val="6E2B09A7"/>
    <w:rsid w:val="6E3051A6"/>
    <w:rsid w:val="6E3143F3"/>
    <w:rsid w:val="6E3E6376"/>
    <w:rsid w:val="6E4C7D8E"/>
    <w:rsid w:val="6E4D38A0"/>
    <w:rsid w:val="6E5E63C9"/>
    <w:rsid w:val="6E60478C"/>
    <w:rsid w:val="6E636B2D"/>
    <w:rsid w:val="6E7B48A4"/>
    <w:rsid w:val="6E8A0F0E"/>
    <w:rsid w:val="6E8A1FE9"/>
    <w:rsid w:val="6E9F225A"/>
    <w:rsid w:val="6EA4278C"/>
    <w:rsid w:val="6ED20C37"/>
    <w:rsid w:val="6ED84CA2"/>
    <w:rsid w:val="6F1409E4"/>
    <w:rsid w:val="6F235D17"/>
    <w:rsid w:val="6F2831FF"/>
    <w:rsid w:val="6F290A5C"/>
    <w:rsid w:val="6F49762C"/>
    <w:rsid w:val="6F6A11C1"/>
    <w:rsid w:val="6F771525"/>
    <w:rsid w:val="6F8550F7"/>
    <w:rsid w:val="6F983338"/>
    <w:rsid w:val="6FE130B7"/>
    <w:rsid w:val="70180EEC"/>
    <w:rsid w:val="701F031E"/>
    <w:rsid w:val="702B5625"/>
    <w:rsid w:val="70334EE4"/>
    <w:rsid w:val="703724E5"/>
    <w:rsid w:val="70563141"/>
    <w:rsid w:val="70825192"/>
    <w:rsid w:val="70904F60"/>
    <w:rsid w:val="709E3A29"/>
    <w:rsid w:val="70B9303C"/>
    <w:rsid w:val="71264A43"/>
    <w:rsid w:val="713D33C3"/>
    <w:rsid w:val="714211F6"/>
    <w:rsid w:val="71507AB3"/>
    <w:rsid w:val="71653225"/>
    <w:rsid w:val="716562BC"/>
    <w:rsid w:val="717E33F1"/>
    <w:rsid w:val="717E58B9"/>
    <w:rsid w:val="71864485"/>
    <w:rsid w:val="718D0127"/>
    <w:rsid w:val="7194628C"/>
    <w:rsid w:val="71A36DE5"/>
    <w:rsid w:val="71CD3E62"/>
    <w:rsid w:val="71EC3C66"/>
    <w:rsid w:val="720E28CC"/>
    <w:rsid w:val="722A4874"/>
    <w:rsid w:val="722E49FE"/>
    <w:rsid w:val="72503E82"/>
    <w:rsid w:val="725517FA"/>
    <w:rsid w:val="72643E70"/>
    <w:rsid w:val="726613F8"/>
    <w:rsid w:val="726F6885"/>
    <w:rsid w:val="72945010"/>
    <w:rsid w:val="72AA6999"/>
    <w:rsid w:val="731F4115"/>
    <w:rsid w:val="733B3CA5"/>
    <w:rsid w:val="734D48B3"/>
    <w:rsid w:val="735F0E69"/>
    <w:rsid w:val="738800A6"/>
    <w:rsid w:val="738C18CC"/>
    <w:rsid w:val="73A26C9A"/>
    <w:rsid w:val="73C65424"/>
    <w:rsid w:val="73D44C4D"/>
    <w:rsid w:val="73D75F45"/>
    <w:rsid w:val="740C637C"/>
    <w:rsid w:val="741A5AE4"/>
    <w:rsid w:val="744F4027"/>
    <w:rsid w:val="74527558"/>
    <w:rsid w:val="74630543"/>
    <w:rsid w:val="746476AC"/>
    <w:rsid w:val="74B414F1"/>
    <w:rsid w:val="74C17E56"/>
    <w:rsid w:val="74F77F85"/>
    <w:rsid w:val="751009BA"/>
    <w:rsid w:val="752D5FD0"/>
    <w:rsid w:val="75363738"/>
    <w:rsid w:val="754604BF"/>
    <w:rsid w:val="75555A07"/>
    <w:rsid w:val="755E0834"/>
    <w:rsid w:val="756952A0"/>
    <w:rsid w:val="75763F01"/>
    <w:rsid w:val="75780393"/>
    <w:rsid w:val="757D2039"/>
    <w:rsid w:val="7592314F"/>
    <w:rsid w:val="75931BD6"/>
    <w:rsid w:val="75D41F54"/>
    <w:rsid w:val="75D753FE"/>
    <w:rsid w:val="75DA1F0A"/>
    <w:rsid w:val="760206AF"/>
    <w:rsid w:val="760A7850"/>
    <w:rsid w:val="76146573"/>
    <w:rsid w:val="76366886"/>
    <w:rsid w:val="76501CA9"/>
    <w:rsid w:val="76BA6FD4"/>
    <w:rsid w:val="76D12D00"/>
    <w:rsid w:val="77065AA6"/>
    <w:rsid w:val="7710144D"/>
    <w:rsid w:val="7713082D"/>
    <w:rsid w:val="77147AC2"/>
    <w:rsid w:val="77293697"/>
    <w:rsid w:val="773C2AE5"/>
    <w:rsid w:val="773F649D"/>
    <w:rsid w:val="774208C4"/>
    <w:rsid w:val="775C0C03"/>
    <w:rsid w:val="776233D0"/>
    <w:rsid w:val="7769611D"/>
    <w:rsid w:val="7788088D"/>
    <w:rsid w:val="77893CBC"/>
    <w:rsid w:val="779604AB"/>
    <w:rsid w:val="77C35025"/>
    <w:rsid w:val="77C524F2"/>
    <w:rsid w:val="77F92DE3"/>
    <w:rsid w:val="781828E5"/>
    <w:rsid w:val="781B2A9F"/>
    <w:rsid w:val="7840162E"/>
    <w:rsid w:val="785369A5"/>
    <w:rsid w:val="78604549"/>
    <w:rsid w:val="787A3ED4"/>
    <w:rsid w:val="78A863B4"/>
    <w:rsid w:val="78D06479"/>
    <w:rsid w:val="78DA7BFC"/>
    <w:rsid w:val="79073BFE"/>
    <w:rsid w:val="790B53AC"/>
    <w:rsid w:val="791103FB"/>
    <w:rsid w:val="791968B3"/>
    <w:rsid w:val="79571888"/>
    <w:rsid w:val="797A003E"/>
    <w:rsid w:val="798D4078"/>
    <w:rsid w:val="799544AF"/>
    <w:rsid w:val="79BE1548"/>
    <w:rsid w:val="79BF4B1E"/>
    <w:rsid w:val="79C803C9"/>
    <w:rsid w:val="79F25CC7"/>
    <w:rsid w:val="79F32334"/>
    <w:rsid w:val="7A065E24"/>
    <w:rsid w:val="7A0D67B4"/>
    <w:rsid w:val="7A2C4056"/>
    <w:rsid w:val="7A373D74"/>
    <w:rsid w:val="7A7B476C"/>
    <w:rsid w:val="7A88782B"/>
    <w:rsid w:val="7B2472A6"/>
    <w:rsid w:val="7B43643F"/>
    <w:rsid w:val="7B670DFC"/>
    <w:rsid w:val="7B72091E"/>
    <w:rsid w:val="7B7C4813"/>
    <w:rsid w:val="7B965968"/>
    <w:rsid w:val="7B9B055E"/>
    <w:rsid w:val="7B9B4A27"/>
    <w:rsid w:val="7BA831A2"/>
    <w:rsid w:val="7BB14734"/>
    <w:rsid w:val="7BB6292E"/>
    <w:rsid w:val="7BBC5780"/>
    <w:rsid w:val="7BC24AC3"/>
    <w:rsid w:val="7BEB5115"/>
    <w:rsid w:val="7BEE3B45"/>
    <w:rsid w:val="7BF177CF"/>
    <w:rsid w:val="7C1C7D9D"/>
    <w:rsid w:val="7C22799F"/>
    <w:rsid w:val="7C314629"/>
    <w:rsid w:val="7C32660C"/>
    <w:rsid w:val="7C8A65D3"/>
    <w:rsid w:val="7CA6731F"/>
    <w:rsid w:val="7CAC4B90"/>
    <w:rsid w:val="7CAC63D8"/>
    <w:rsid w:val="7D426780"/>
    <w:rsid w:val="7D4A280A"/>
    <w:rsid w:val="7D4B4513"/>
    <w:rsid w:val="7D58774B"/>
    <w:rsid w:val="7D823C60"/>
    <w:rsid w:val="7D972870"/>
    <w:rsid w:val="7DCD46BE"/>
    <w:rsid w:val="7DE77FE6"/>
    <w:rsid w:val="7DF66377"/>
    <w:rsid w:val="7DFF16F4"/>
    <w:rsid w:val="7E3220D9"/>
    <w:rsid w:val="7E387C59"/>
    <w:rsid w:val="7E484B2C"/>
    <w:rsid w:val="7E553E43"/>
    <w:rsid w:val="7EB13049"/>
    <w:rsid w:val="7ED2171A"/>
    <w:rsid w:val="7EEB3E9F"/>
    <w:rsid w:val="7F193F92"/>
    <w:rsid w:val="7F21759B"/>
    <w:rsid w:val="7F262F6D"/>
    <w:rsid w:val="7F470735"/>
    <w:rsid w:val="7F571B32"/>
    <w:rsid w:val="7F9F0062"/>
    <w:rsid w:val="7FA24C93"/>
    <w:rsid w:val="7FD73226"/>
    <w:rsid w:val="7FD971F1"/>
    <w:rsid w:val="7FE326E6"/>
    <w:rsid w:val="7FE9206A"/>
    <w:rsid w:val="7FFE6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50"/>
    <w:qFormat/>
    <w:uiPriority w:val="0"/>
    <w:pPr>
      <w:keepNext/>
      <w:keepLines/>
      <w:spacing w:before="260" w:after="260" w:line="412" w:lineRule="auto"/>
      <w:outlineLvl w:val="1"/>
    </w:pPr>
    <w:rPr>
      <w:rFonts w:ascii="Arial" w:hAnsi="Arial" w:eastAsia="黑体" w:cs="Arial"/>
      <w:b/>
      <w:bCs/>
      <w:sz w:val="32"/>
      <w:szCs w:val="32"/>
    </w:rPr>
  </w:style>
  <w:style w:type="paragraph" w:styleId="7">
    <w:name w:val="heading 3"/>
    <w:basedOn w:val="1"/>
    <w:next w:val="1"/>
    <w:qFormat/>
    <w:uiPriority w:val="0"/>
    <w:pPr>
      <w:keepNext/>
      <w:keepLines/>
      <w:spacing w:before="260" w:after="260" w:line="412" w:lineRule="auto"/>
      <w:outlineLvl w:val="2"/>
    </w:pPr>
    <w:rPr>
      <w:rFonts w:ascii="Calibri" w:hAnsi="Calibri" w:cs="宋体"/>
      <w:b/>
      <w:bCs/>
      <w:sz w:val="32"/>
      <w:szCs w:val="32"/>
    </w:rPr>
  </w:style>
  <w:style w:type="paragraph" w:styleId="8">
    <w:name w:val="heading 4"/>
    <w:basedOn w:val="1"/>
    <w:next w:val="1"/>
    <w:qFormat/>
    <w:uiPriority w:val="0"/>
    <w:pPr>
      <w:keepNext/>
      <w:keepLines/>
      <w:spacing w:before="120" w:after="120"/>
      <w:outlineLvl w:val="3"/>
    </w:pPr>
    <w:rPr>
      <w:rFonts w:ascii="Arial" w:hAnsi="Arial" w:eastAsia="黑体"/>
      <w:b/>
      <w:sz w:val="20"/>
      <w:szCs w:val="20"/>
    </w:rPr>
  </w:style>
  <w:style w:type="character" w:default="1" w:styleId="20">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next w:val="4"/>
    <w:qFormat/>
    <w:uiPriority w:val="0"/>
    <w:pPr>
      <w:ind w:firstLine="192" w:firstLineChars="192"/>
    </w:pPr>
    <w:rPr>
      <w:sz w:val="28"/>
    </w:rPr>
  </w:style>
  <w:style w:type="paragraph" w:styleId="4">
    <w:name w:val="envelope return"/>
    <w:basedOn w:val="1"/>
    <w:qFormat/>
    <w:uiPriority w:val="0"/>
    <w:pPr>
      <w:snapToGrid w:val="0"/>
    </w:pPr>
    <w:rPr>
      <w:rFonts w:ascii="Arial" w:hAnsi="Arial"/>
    </w:rPr>
  </w:style>
  <w:style w:type="paragraph" w:styleId="9">
    <w:name w:val="Body Text First Indent"/>
    <w:basedOn w:val="10"/>
    <w:qFormat/>
    <w:uiPriority w:val="0"/>
    <w:pPr>
      <w:tabs>
        <w:tab w:val="left" w:pos="180"/>
      </w:tabs>
      <w:spacing w:after="120" w:line="240" w:lineRule="auto"/>
      <w:ind w:firstLine="100" w:firstLineChars="100"/>
    </w:pPr>
    <w:rPr>
      <w:sz w:val="21"/>
    </w:rPr>
  </w:style>
  <w:style w:type="paragraph" w:styleId="10">
    <w:name w:val="Body Text"/>
    <w:basedOn w:val="1"/>
    <w:next w:val="9"/>
    <w:qFormat/>
    <w:uiPriority w:val="0"/>
    <w:pPr>
      <w:tabs>
        <w:tab w:val="left" w:pos="180"/>
      </w:tabs>
      <w:spacing w:line="520" w:lineRule="exact"/>
    </w:pPr>
    <w:rPr>
      <w:sz w:val="28"/>
    </w:rPr>
  </w:style>
  <w:style w:type="paragraph" w:styleId="11">
    <w:name w:val="Normal Indent"/>
    <w:basedOn w:val="1"/>
    <w:link w:val="46"/>
    <w:qFormat/>
    <w:uiPriority w:val="99"/>
    <w:pPr>
      <w:adjustRightInd w:val="0"/>
      <w:ind w:firstLine="420"/>
      <w:jc w:val="left"/>
      <w:textAlignment w:val="baseline"/>
    </w:pPr>
    <w:rPr>
      <w:rFonts w:eastAsia="楷体_GB2312"/>
      <w:sz w:val="24"/>
      <w:szCs w:val="20"/>
    </w:rPr>
  </w:style>
  <w:style w:type="paragraph" w:styleId="12">
    <w:name w:val="index 5"/>
    <w:basedOn w:val="1"/>
    <w:next w:val="1"/>
    <w:qFormat/>
    <w:uiPriority w:val="0"/>
    <w:pPr>
      <w:ind w:left="380" w:leftChars="380"/>
      <w:jc w:val="left"/>
    </w:pPr>
    <w:rPr>
      <w:rFonts w:ascii="Calibri" w:hAnsi="Calibri" w:eastAsia="Times New Roman"/>
    </w:rPr>
  </w:style>
  <w:style w:type="paragraph" w:styleId="13">
    <w:name w:val="annotation text"/>
    <w:basedOn w:val="1"/>
    <w:qFormat/>
    <w:uiPriority w:val="0"/>
    <w:pPr>
      <w:jc w:val="left"/>
    </w:pPr>
  </w:style>
  <w:style w:type="paragraph" w:styleId="14">
    <w:name w:val="Block Text"/>
    <w:basedOn w:val="1"/>
    <w:qFormat/>
    <w:uiPriority w:val="0"/>
    <w:pPr>
      <w:autoSpaceDE w:val="0"/>
      <w:autoSpaceDN w:val="0"/>
      <w:adjustRightInd w:val="0"/>
      <w:ind w:left="256" w:right="6" w:firstLine="624" w:firstLineChars="200"/>
    </w:pPr>
    <w:rPr>
      <w:rFonts w:eastAsia="仿宋_GB2312"/>
      <w:kern w:val="0"/>
      <w:sz w:val="28"/>
      <w:szCs w:val="20"/>
    </w:rPr>
  </w:style>
  <w:style w:type="paragraph" w:styleId="15">
    <w:name w:val="Plain Text"/>
    <w:basedOn w:val="1"/>
    <w:link w:val="31"/>
    <w:qFormat/>
    <w:uiPriority w:val="0"/>
    <w:rPr>
      <w:rFonts w:ascii="宋体" w:hAnsi="Courier New" w:cs="Courier New"/>
      <w:szCs w:val="21"/>
    </w:rPr>
  </w:style>
  <w:style w:type="paragraph" w:styleId="16">
    <w:name w:val="footer"/>
    <w:basedOn w:val="1"/>
    <w:qFormat/>
    <w:uiPriority w:val="0"/>
    <w:pPr>
      <w:tabs>
        <w:tab w:val="center" w:pos="4153"/>
        <w:tab w:val="right" w:pos="8306"/>
      </w:tabs>
      <w:snapToGrid w:val="0"/>
      <w:jc w:val="left"/>
    </w:pPr>
    <w:rPr>
      <w:rFonts w:ascii="Calibri" w:hAnsi="Calibri"/>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8">
    <w:name w:val="toc 2"/>
    <w:basedOn w:val="1"/>
    <w:next w:val="1"/>
    <w:qFormat/>
    <w:uiPriority w:val="39"/>
    <w:pPr>
      <w:ind w:left="320"/>
      <w:jc w:val="left"/>
    </w:pPr>
    <w:rPr>
      <w:rFonts w:ascii="Calibri" w:hAnsi="Calibri" w:cs="Calibri"/>
      <w:smallCaps/>
      <w:sz w:val="20"/>
      <w:szCs w:val="20"/>
    </w:rPr>
  </w:style>
  <w:style w:type="paragraph" w:styleId="1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21">
    <w:name w:val="FollowedHyperlink"/>
    <w:basedOn w:val="20"/>
    <w:qFormat/>
    <w:uiPriority w:val="0"/>
    <w:rPr>
      <w:rFonts w:ascii="微软雅黑" w:hAnsi="微软雅黑" w:eastAsia="微软雅黑" w:cs="微软雅黑"/>
      <w:color w:val="02396F"/>
      <w:u w:val="single"/>
    </w:rPr>
  </w:style>
  <w:style w:type="character" w:styleId="22">
    <w:name w:val="Hyperlink"/>
    <w:basedOn w:val="20"/>
    <w:qFormat/>
    <w:uiPriority w:val="0"/>
    <w:rPr>
      <w:color w:val="0000FF"/>
      <w:u w:val="single"/>
    </w:rPr>
  </w:style>
  <w:style w:type="character" w:styleId="23">
    <w:name w:val="annotation reference"/>
    <w:semiHidden/>
    <w:unhideWhenUsed/>
    <w:qFormat/>
    <w:uiPriority w:val="99"/>
    <w:rPr>
      <w:sz w:val="21"/>
      <w:szCs w:val="21"/>
    </w:rPr>
  </w:style>
  <w:style w:type="paragraph" w:customStyle="1" w:styleId="25">
    <w:name w:val="DAS正文"/>
    <w:basedOn w:val="1"/>
    <w:qFormat/>
    <w:uiPriority w:val="0"/>
    <w:pPr>
      <w:spacing w:line="360" w:lineRule="auto"/>
      <w:ind w:right="181" w:firstLine="480"/>
    </w:pPr>
    <w:rPr>
      <w:rFonts w:ascii="Verdana" w:hAnsi="Verdana"/>
    </w:rPr>
  </w:style>
  <w:style w:type="paragraph" w:customStyle="1" w:styleId="26">
    <w:name w:val="表格文字"/>
    <w:basedOn w:val="1"/>
    <w:next w:val="10"/>
    <w:qFormat/>
    <w:uiPriority w:val="0"/>
    <w:pPr>
      <w:tabs>
        <w:tab w:val="left" w:pos="560"/>
      </w:tabs>
      <w:spacing w:line="360" w:lineRule="exact"/>
      <w:jc w:val="center"/>
    </w:pPr>
    <w:rPr>
      <w:szCs w:val="28"/>
    </w:rPr>
  </w:style>
  <w:style w:type="character" w:customStyle="1" w:styleId="27">
    <w:name w:val="style41"/>
    <w:basedOn w:val="20"/>
    <w:qFormat/>
    <w:uiPriority w:val="0"/>
    <w:rPr>
      <w:rFonts w:cs="Times New Roman"/>
      <w:sz w:val="21"/>
      <w:szCs w:val="21"/>
    </w:rPr>
  </w:style>
  <w:style w:type="paragraph" w:customStyle="1" w:styleId="28">
    <w:name w:val="正文1"/>
    <w:basedOn w:val="1"/>
    <w:qFormat/>
    <w:uiPriority w:val="0"/>
    <w:pPr>
      <w:adjustRightInd w:val="0"/>
      <w:spacing w:line="312" w:lineRule="atLeast"/>
      <w:textAlignment w:val="baseline"/>
    </w:pPr>
    <w:rPr>
      <w:rFonts w:ascii="宋体" w:hAnsi="Calibri" w:cs="宋体"/>
      <w:kern w:val="0"/>
      <w:sz w:val="34"/>
      <w:szCs w:val="34"/>
    </w:rPr>
  </w:style>
  <w:style w:type="paragraph" w:customStyle="1" w:styleId="29">
    <w:name w:val="列出段落1"/>
    <w:basedOn w:val="1"/>
    <w:qFormat/>
    <w:uiPriority w:val="0"/>
    <w:pPr>
      <w:ind w:firstLine="420" w:firstLineChars="200"/>
    </w:pPr>
    <w:rPr>
      <w:rFonts w:ascii="Calibri" w:hAnsi="Calibri"/>
      <w:szCs w:val="22"/>
    </w:rPr>
  </w:style>
  <w:style w:type="paragraph" w:customStyle="1" w:styleId="30">
    <w:name w:val="样式"/>
    <w:basedOn w:val="1"/>
    <w:qFormat/>
    <w:uiPriority w:val="0"/>
    <w:pPr>
      <w:autoSpaceDE w:val="0"/>
      <w:autoSpaceDN w:val="0"/>
      <w:adjustRightInd w:val="0"/>
      <w:jc w:val="left"/>
    </w:pPr>
    <w:rPr>
      <w:rFonts w:ascii="宋体" w:hAnsi="宋体" w:cs="宋体"/>
      <w:kern w:val="0"/>
      <w:sz w:val="24"/>
    </w:rPr>
  </w:style>
  <w:style w:type="character" w:customStyle="1" w:styleId="31">
    <w:name w:val="纯文本 Char"/>
    <w:basedOn w:val="20"/>
    <w:link w:val="15"/>
    <w:qFormat/>
    <w:locked/>
    <w:uiPriority w:val="0"/>
    <w:rPr>
      <w:rFonts w:ascii="宋体" w:hAnsi="Courier New" w:cs="Courier New"/>
      <w:szCs w:val="21"/>
    </w:rPr>
  </w:style>
  <w:style w:type="paragraph" w:customStyle="1" w:styleId="32">
    <w:name w:val="列表段落1"/>
    <w:basedOn w:val="1"/>
    <w:qFormat/>
    <w:uiPriority w:val="0"/>
    <w:pPr>
      <w:ind w:firstLine="420" w:firstLineChars="200"/>
    </w:pPr>
    <w:rPr>
      <w:rFonts w:ascii="Calibri" w:hAnsi="Calibri"/>
      <w:szCs w:val="20"/>
    </w:rPr>
  </w:style>
  <w:style w:type="paragraph" w:customStyle="1" w:styleId="33">
    <w:name w:val="trs_editor"/>
    <w:basedOn w:val="1"/>
    <w:qFormat/>
    <w:uiPriority w:val="0"/>
    <w:pPr>
      <w:widowControl/>
      <w:spacing w:before="100" w:beforeAutospacing="1" w:after="100" w:afterAutospacing="1"/>
      <w:jc w:val="left"/>
    </w:pPr>
    <w:rPr>
      <w:rFonts w:ascii="宋体" w:hAnsi="宋体" w:cs="宋体"/>
      <w:kern w:val="0"/>
      <w:sz w:val="24"/>
    </w:rPr>
  </w:style>
  <w:style w:type="character" w:customStyle="1" w:styleId="34">
    <w:name w:val="redfilefwwh"/>
    <w:basedOn w:val="20"/>
    <w:qFormat/>
    <w:uiPriority w:val="0"/>
    <w:rPr>
      <w:color w:val="BA2636"/>
      <w:sz w:val="18"/>
      <w:szCs w:val="18"/>
    </w:rPr>
  </w:style>
  <w:style w:type="character" w:customStyle="1" w:styleId="35">
    <w:name w:val="redfilenumber"/>
    <w:basedOn w:val="20"/>
    <w:qFormat/>
    <w:uiPriority w:val="0"/>
    <w:rPr>
      <w:color w:val="BA2636"/>
      <w:sz w:val="18"/>
      <w:szCs w:val="18"/>
    </w:rPr>
  </w:style>
  <w:style w:type="character" w:customStyle="1" w:styleId="36">
    <w:name w:val="gjfg"/>
    <w:basedOn w:val="20"/>
    <w:qFormat/>
    <w:uiPriority w:val="0"/>
  </w:style>
  <w:style w:type="character" w:customStyle="1" w:styleId="37">
    <w:name w:val="cfdate"/>
    <w:basedOn w:val="20"/>
    <w:qFormat/>
    <w:uiPriority w:val="0"/>
    <w:rPr>
      <w:color w:val="333333"/>
      <w:sz w:val="18"/>
      <w:szCs w:val="18"/>
    </w:rPr>
  </w:style>
  <w:style w:type="character" w:customStyle="1" w:styleId="38">
    <w:name w:val="displayarti"/>
    <w:basedOn w:val="20"/>
    <w:qFormat/>
    <w:uiPriority w:val="0"/>
    <w:rPr>
      <w:color w:val="FFFFFF"/>
      <w:shd w:val="clear" w:color="auto" w:fill="A00000"/>
    </w:rPr>
  </w:style>
  <w:style w:type="character" w:customStyle="1" w:styleId="39">
    <w:name w:val="qxdate"/>
    <w:basedOn w:val="20"/>
    <w:qFormat/>
    <w:uiPriority w:val="0"/>
    <w:rPr>
      <w:color w:val="333333"/>
      <w:sz w:val="18"/>
      <w:szCs w:val="18"/>
    </w:rPr>
  </w:style>
  <w:style w:type="character" w:customStyle="1" w:styleId="40">
    <w:name w:val="font51"/>
    <w:basedOn w:val="20"/>
    <w:qFormat/>
    <w:uiPriority w:val="0"/>
    <w:rPr>
      <w:rFonts w:ascii="Arial" w:hAnsi="Arial" w:cs="Arial"/>
      <w:color w:val="000000"/>
      <w:sz w:val="22"/>
      <w:szCs w:val="22"/>
      <w:u w:val="none"/>
    </w:rPr>
  </w:style>
  <w:style w:type="character" w:customStyle="1" w:styleId="41">
    <w:name w:val="font11"/>
    <w:basedOn w:val="20"/>
    <w:qFormat/>
    <w:uiPriority w:val="0"/>
    <w:rPr>
      <w:rFonts w:hint="eastAsia" w:ascii="宋体" w:hAnsi="宋体" w:eastAsia="宋体" w:cs="宋体"/>
      <w:color w:val="000000"/>
      <w:sz w:val="22"/>
      <w:szCs w:val="22"/>
      <w:u w:val="none"/>
    </w:rPr>
  </w:style>
  <w:style w:type="paragraph" w:customStyle="1" w:styleId="42">
    <w:name w:val="投标文件正文"/>
    <w:basedOn w:val="1"/>
    <w:qFormat/>
    <w:uiPriority w:val="0"/>
    <w:pPr>
      <w:spacing w:line="440" w:lineRule="exact"/>
      <w:ind w:firstLine="560" w:firstLineChars="200"/>
    </w:pPr>
    <w:rPr>
      <w:rFonts w:ascii="仿宋_GB2312" w:hAnsi="Calibri" w:eastAsia="仿宋_GB2312"/>
      <w:bCs/>
      <w:sz w:val="28"/>
      <w:szCs w:val="28"/>
    </w:rPr>
  </w:style>
  <w:style w:type="paragraph" w:customStyle="1" w:styleId="4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Table Paragraph"/>
    <w:basedOn w:val="1"/>
    <w:qFormat/>
    <w:uiPriority w:val="1"/>
    <w:pPr>
      <w:autoSpaceDE w:val="0"/>
      <w:autoSpaceDN w:val="0"/>
      <w:adjustRightInd w:val="0"/>
      <w:spacing w:line="380" w:lineRule="exact"/>
      <w:ind w:firstLine="200" w:firstLineChars="200"/>
      <w:jc w:val="left"/>
    </w:pPr>
    <w:rPr>
      <w:kern w:val="0"/>
      <w:sz w:val="24"/>
    </w:rPr>
  </w:style>
  <w:style w:type="paragraph" w:customStyle="1" w:styleId="45">
    <w:name w:val="列出段落11"/>
    <w:basedOn w:val="1"/>
    <w:qFormat/>
    <w:uiPriority w:val="34"/>
    <w:pPr>
      <w:spacing w:line="360" w:lineRule="auto"/>
      <w:ind w:firstLine="420" w:firstLineChars="200"/>
      <w:jc w:val="left"/>
    </w:pPr>
    <w:rPr>
      <w:rFonts w:ascii="Calibri" w:hAnsi="Calibri"/>
      <w:szCs w:val="22"/>
    </w:rPr>
  </w:style>
  <w:style w:type="character" w:customStyle="1" w:styleId="46">
    <w:name w:val="正文缩进 Char"/>
    <w:link w:val="11"/>
    <w:qFormat/>
    <w:uiPriority w:val="99"/>
    <w:rPr>
      <w:rFonts w:eastAsia="楷体_GB2312"/>
      <w:kern w:val="2"/>
      <w:sz w:val="24"/>
    </w:rPr>
  </w:style>
  <w:style w:type="character" w:customStyle="1" w:styleId="47">
    <w:name w:val="纯文本 字符"/>
    <w:qFormat/>
    <w:uiPriority w:val="0"/>
    <w:rPr>
      <w:rFonts w:ascii="宋体" w:hAnsi="Courier New" w:eastAsia="楷体_GB2312"/>
      <w:kern w:val="2"/>
      <w:sz w:val="28"/>
      <w:lang w:val="en-US" w:eastAsia="zh-CN" w:bidi="ar-SA"/>
    </w:rPr>
  </w:style>
  <w:style w:type="paragraph" w:customStyle="1" w:styleId="48">
    <w:name w:val="纯文本1"/>
    <w:basedOn w:val="1"/>
    <w:qFormat/>
    <w:uiPriority w:val="0"/>
    <w:pPr>
      <w:adjustRightInd w:val="0"/>
      <w:textAlignment w:val="baseline"/>
    </w:pPr>
    <w:rPr>
      <w:rFonts w:ascii="宋体" w:hAnsi="Courier New" w:eastAsia="楷体_GB2312"/>
      <w:sz w:val="28"/>
      <w:szCs w:val="20"/>
    </w:rPr>
  </w:style>
  <w:style w:type="paragraph" w:styleId="49">
    <w:name w:val="List Paragraph"/>
    <w:basedOn w:val="1"/>
    <w:qFormat/>
    <w:uiPriority w:val="99"/>
    <w:pPr>
      <w:ind w:firstLine="420" w:firstLineChars="200"/>
    </w:pPr>
  </w:style>
  <w:style w:type="character" w:customStyle="1" w:styleId="50">
    <w:name w:val="标题 2 Char"/>
    <w:basedOn w:val="20"/>
    <w:link w:val="6"/>
    <w:qFormat/>
    <w:uiPriority w:val="0"/>
    <w:rPr>
      <w:rFonts w:ascii="Arial" w:hAnsi="Arial" w:eastAsia="黑体" w:cs="Arial"/>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微软中国</Company>
  <Pages>28</Pages>
  <Words>15318</Words>
  <Characters>16018</Characters>
  <Lines>148</Lines>
  <Paragraphs>41</Paragraphs>
  <TotalTime>9</TotalTime>
  <ScaleCrop>false</ScaleCrop>
  <LinksUpToDate>false</LinksUpToDate>
  <CharactersWithSpaces>17131</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2021-10-31T00:48:00Z</dcterms:created>
  <dc:creator>jinyewumian</dc:creator>
  <cp:lastModifiedBy>苏</cp:lastModifiedBy>
  <cp:lastPrinted>2022-11-18T03:16:00Z</cp:lastPrinted>
  <dcterms:modified xsi:type="dcterms:W3CDTF">2022-12-08T07:02:07Z</dcterms:modified>
  <cp:revision>771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EFED481796A141F79E72F40CEC8F1477</vt:lpwstr>
  </property>
</Properties>
</file>